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CAB81" w14:textId="7FDEAEE0" w:rsidR="00455596" w:rsidRPr="0094169A" w:rsidRDefault="00044796" w:rsidP="00455596">
      <w:pPr>
        <w:pStyle w:val="Annexe"/>
      </w:pPr>
      <w:bookmarkStart w:id="0" w:name="_GoBack"/>
      <w:bookmarkEnd w:id="0"/>
      <w:r>
        <w:t>R</w:t>
      </w:r>
      <w:r w:rsidR="00455596" w:rsidRPr="0094169A">
        <w:t xml:space="preserve">ésumé </w:t>
      </w:r>
      <w:r>
        <w:t xml:space="preserve">exécutif : </w:t>
      </w:r>
      <w:r w:rsidR="00455596" w:rsidRPr="0094169A">
        <w:t>marlin bleu</w:t>
      </w:r>
    </w:p>
    <w:p w14:paraId="5F4C4143" w14:textId="77777777" w:rsidR="00455596" w:rsidRPr="0094169A" w:rsidRDefault="00455596" w:rsidP="00455596">
      <w:pPr>
        <w:jc w:val="center"/>
      </w:pPr>
      <w:r w:rsidRPr="0094169A">
        <w:rPr>
          <w:b/>
          <w:noProof/>
          <w:lang w:val="en-GB" w:eastAsia="en-GB"/>
        </w:rPr>
        <w:drawing>
          <wp:inline distT="0" distB="0" distL="0" distR="0" wp14:anchorId="6356761D" wp14:editId="06FE1C5E">
            <wp:extent cx="3600000" cy="809625"/>
            <wp:effectExtent l="0" t="0" r="0" b="0"/>
            <wp:docPr id="73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5799" r="60643" b="44173"/>
                    <a:stretch/>
                  </pic:blipFill>
                  <pic:spPr bwMode="auto">
                    <a:xfrm>
                      <a:off x="0" y="0"/>
                      <a:ext cx="3686560" cy="829092"/>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94169A">
        <w:rPr>
          <w:noProof/>
          <w:sz w:val="24"/>
          <w:szCs w:val="24"/>
          <w:lang w:val="en-GB" w:eastAsia="en-GB"/>
        </w:rPr>
        <w:drawing>
          <wp:inline distT="0" distB="0" distL="0" distR="0" wp14:anchorId="5D92EFDA" wp14:editId="690876C1">
            <wp:extent cx="1587399" cy="676095"/>
            <wp:effectExtent l="0" t="0" r="0" b="0"/>
            <wp:docPr id="731" name="Picture 731" descr="Y:\04 - Meetings\01 - Meeting Administration\FAO line drawnings\Makaira_nigrican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Makaira_nigricans-main.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624" cy="678320"/>
                    </a:xfrm>
                    <a:prstGeom prst="rect">
                      <a:avLst/>
                    </a:prstGeom>
                    <a:noFill/>
                    <a:ln>
                      <a:noFill/>
                    </a:ln>
                  </pic:spPr>
                </pic:pic>
              </a:graphicData>
            </a:graphic>
          </wp:inline>
        </w:drawing>
      </w:r>
    </w:p>
    <w:p w14:paraId="0B709989" w14:textId="77777777" w:rsidR="00455596" w:rsidRPr="0094169A" w:rsidRDefault="00455596" w:rsidP="00455596"/>
    <w:p w14:paraId="79BEC959" w14:textId="77777777" w:rsidR="00455596" w:rsidRPr="0094169A" w:rsidRDefault="00455596" w:rsidP="00455596">
      <w:pPr>
        <w:pStyle w:val="ResolutionsAnnex"/>
        <w:rPr>
          <w:rFonts w:ascii="Times New Roman" w:hAnsi="Times New Roman"/>
          <w:noProof w:val="0"/>
          <w:sz w:val="28"/>
          <w:szCs w:val="28"/>
          <w:lang w:val="fr-FR"/>
        </w:rPr>
      </w:pPr>
      <w:r w:rsidRPr="0094169A">
        <w:rPr>
          <w:rFonts w:ascii="Times New Roman" w:hAnsi="Times New Roman"/>
          <w:bCs/>
          <w:noProof w:val="0"/>
          <w:sz w:val="28"/>
          <w:szCs w:val="28"/>
          <w:lang w:val="fr-FR"/>
        </w:rPr>
        <w:t>État de la</w:t>
      </w:r>
      <w:r w:rsidRPr="0094169A">
        <w:rPr>
          <w:rFonts w:ascii="Times New Roman" w:hAnsi="Times New Roman"/>
          <w:noProof w:val="0"/>
          <w:sz w:val="28"/>
          <w:szCs w:val="28"/>
          <w:lang w:val="fr-FR"/>
        </w:rPr>
        <w:t xml:space="preserve"> ressource de marlin bleu (BUM : </w:t>
      </w:r>
      <w:r w:rsidRPr="0094169A">
        <w:rPr>
          <w:rFonts w:ascii="Times New Roman" w:hAnsi="Times New Roman"/>
          <w:bCs/>
          <w:i/>
          <w:iCs/>
          <w:smallCaps w:val="0"/>
          <w:noProof w:val="0"/>
          <w:sz w:val="28"/>
          <w:szCs w:val="28"/>
          <w:lang w:val="fr-FR"/>
        </w:rPr>
        <w:t>Makaira nigricans</w:t>
      </w:r>
      <w:r w:rsidRPr="0094169A">
        <w:rPr>
          <w:rFonts w:ascii="Times New Roman" w:hAnsi="Times New Roman"/>
          <w:noProof w:val="0"/>
          <w:sz w:val="28"/>
          <w:szCs w:val="28"/>
          <w:lang w:val="fr-FR"/>
        </w:rPr>
        <w:t>)</w:t>
      </w:r>
      <w:r w:rsidRPr="0094169A">
        <w:rPr>
          <w:rFonts w:ascii="Times New Roman" w:hAnsi="Times New Roman"/>
          <w:i/>
          <w:noProof w:val="0"/>
          <w:sz w:val="28"/>
          <w:szCs w:val="28"/>
          <w:lang w:val="fr-FR"/>
        </w:rPr>
        <w:t xml:space="preserve"> </w:t>
      </w:r>
      <w:r w:rsidRPr="0094169A">
        <w:rPr>
          <w:rFonts w:ascii="Times New Roman" w:hAnsi="Times New Roman"/>
          <w:noProof w:val="0"/>
          <w:sz w:val="28"/>
          <w:szCs w:val="28"/>
          <w:lang w:val="fr-FR"/>
        </w:rPr>
        <w:t>de l’océan Indien</w:t>
      </w:r>
    </w:p>
    <w:p w14:paraId="273F5E75" w14:textId="77777777" w:rsidR="00455596" w:rsidRPr="0094169A" w:rsidRDefault="00455596" w:rsidP="00455596">
      <w:pPr>
        <w:pStyle w:val="ResolutionsAnnex"/>
        <w:rPr>
          <w:rFonts w:ascii="Times New Roman" w:hAnsi="Times New Roman"/>
          <w:noProof w:val="0"/>
          <w:kern w:val="32"/>
          <w:sz w:val="28"/>
          <w:szCs w:val="28"/>
          <w:lang w:val="fr-FR"/>
        </w:rPr>
      </w:pPr>
    </w:p>
    <w:p w14:paraId="4517838C" w14:textId="77777777" w:rsidR="00455596" w:rsidRPr="0094169A" w:rsidRDefault="00455596" w:rsidP="00455596">
      <w:pPr>
        <w:pStyle w:val="ResolutionsAnnex"/>
        <w:rPr>
          <w:rFonts w:ascii="Times New Roman" w:hAnsi="Times New Roman"/>
          <w:noProof w:val="0"/>
          <w:kern w:val="32"/>
          <w:sz w:val="28"/>
          <w:szCs w:val="28"/>
          <w:lang w:val="fr-FR"/>
        </w:rPr>
      </w:pPr>
    </w:p>
    <w:p w14:paraId="321E71EB" w14:textId="77777777" w:rsidR="00455596" w:rsidRPr="0094169A" w:rsidRDefault="00455596" w:rsidP="00455596">
      <w:pPr>
        <w:rPr>
          <w:color w:val="000000"/>
          <w:sz w:val="20"/>
        </w:rPr>
      </w:pPr>
      <w:r w:rsidRPr="0094169A">
        <w:rPr>
          <w:b/>
          <w:color w:val="000000"/>
          <w:sz w:val="20"/>
        </w:rPr>
        <w:t>Tableau 1</w:t>
      </w:r>
      <w:r w:rsidRPr="0094169A">
        <w:rPr>
          <w:color w:val="000000"/>
          <w:sz w:val="20"/>
        </w:rPr>
        <w:t>. Marlin bleu : état du marlin bleu (</w:t>
      </w:r>
      <w:r w:rsidRPr="0094169A">
        <w:rPr>
          <w:i/>
          <w:color w:val="000000"/>
          <w:sz w:val="20"/>
        </w:rPr>
        <w:t xml:space="preserve">Makaira </w:t>
      </w:r>
      <w:r w:rsidRPr="0094169A">
        <w:rPr>
          <w:i/>
          <w:sz w:val="20"/>
        </w:rPr>
        <w:t>nigricans</w:t>
      </w:r>
      <w:r w:rsidRPr="0094169A">
        <w:rPr>
          <w:color w:val="000000"/>
          <w:sz w:val="20"/>
        </w:rPr>
        <w:t xml:space="preserve">) dans l’océan Indien. </w:t>
      </w:r>
    </w:p>
    <w:tbl>
      <w:tblPr>
        <w:tblW w:w="9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2974"/>
        <w:gridCol w:w="2410"/>
        <w:gridCol w:w="1469"/>
      </w:tblGrid>
      <w:tr w:rsidR="00455596" w:rsidRPr="0094169A" w14:paraId="06851477" w14:textId="77777777" w:rsidTr="00561F0E">
        <w:trPr>
          <w:trHeight w:val="891"/>
          <w:jc w:val="center"/>
        </w:trPr>
        <w:tc>
          <w:tcPr>
            <w:tcW w:w="2370" w:type="dxa"/>
            <w:shd w:val="clear" w:color="auto" w:fill="auto"/>
            <w:vAlign w:val="center"/>
          </w:tcPr>
          <w:p w14:paraId="550518F7" w14:textId="77777777" w:rsidR="00455596" w:rsidRPr="0094169A" w:rsidRDefault="00455596" w:rsidP="00561F0E">
            <w:pPr>
              <w:jc w:val="center"/>
              <w:rPr>
                <w:b/>
                <w:sz w:val="20"/>
                <w:lang w:eastAsia="en-US"/>
              </w:rPr>
            </w:pPr>
            <w:r w:rsidRPr="0094169A">
              <w:rPr>
                <w:b/>
                <w:sz w:val="20"/>
                <w:lang w:eastAsia="en-US"/>
              </w:rPr>
              <w:t>Zone</w:t>
            </w:r>
            <w:r w:rsidRPr="0094169A">
              <w:rPr>
                <w:b/>
                <w:sz w:val="20"/>
                <w:vertAlign w:val="superscript"/>
                <w:lang w:eastAsia="en-US"/>
              </w:rPr>
              <w:t>1</w:t>
            </w:r>
          </w:p>
        </w:tc>
        <w:tc>
          <w:tcPr>
            <w:tcW w:w="5384" w:type="dxa"/>
            <w:gridSpan w:val="2"/>
            <w:shd w:val="clear" w:color="auto" w:fill="auto"/>
            <w:vAlign w:val="center"/>
          </w:tcPr>
          <w:p w14:paraId="3F9B9858" w14:textId="77777777" w:rsidR="00455596" w:rsidRPr="0094169A" w:rsidRDefault="00455596" w:rsidP="00561F0E">
            <w:pPr>
              <w:autoSpaceDE w:val="0"/>
              <w:jc w:val="center"/>
              <w:rPr>
                <w:b/>
                <w:sz w:val="20"/>
                <w:lang w:eastAsia="en-US"/>
              </w:rPr>
            </w:pPr>
            <w:r w:rsidRPr="0094169A">
              <w:rPr>
                <w:b/>
                <w:sz w:val="20"/>
                <w:lang w:eastAsia="en-US"/>
              </w:rPr>
              <w:t>Indicateurs</w:t>
            </w:r>
          </w:p>
        </w:tc>
        <w:tc>
          <w:tcPr>
            <w:tcW w:w="1469" w:type="dxa"/>
            <w:tcBorders>
              <w:bottom w:val="single" w:sz="4" w:space="0" w:color="000000"/>
            </w:tcBorders>
            <w:shd w:val="clear" w:color="auto" w:fill="auto"/>
            <w:vAlign w:val="center"/>
          </w:tcPr>
          <w:p w14:paraId="4F302EED" w14:textId="6431A815" w:rsidR="00455596" w:rsidRPr="0094169A" w:rsidRDefault="00455596" w:rsidP="00561F0E">
            <w:pPr>
              <w:autoSpaceDE w:val="0"/>
              <w:jc w:val="center"/>
              <w:rPr>
                <w:b/>
                <w:sz w:val="20"/>
                <w:lang w:eastAsia="en-GB"/>
              </w:rPr>
            </w:pPr>
            <w:r w:rsidRPr="0094169A">
              <w:rPr>
                <w:b/>
                <w:sz w:val="20"/>
                <w:lang w:eastAsia="en-GB"/>
              </w:rPr>
              <w:t>Détermination de l’état du stock 201</w:t>
            </w:r>
            <w:r w:rsidR="00044796">
              <w:rPr>
                <w:b/>
                <w:sz w:val="20"/>
                <w:lang w:eastAsia="en-GB"/>
              </w:rPr>
              <w:t>5</w:t>
            </w:r>
          </w:p>
        </w:tc>
      </w:tr>
      <w:tr w:rsidR="00455596" w:rsidRPr="0094169A" w14:paraId="696F9A8E" w14:textId="77777777" w:rsidTr="00561F0E">
        <w:trPr>
          <w:trHeight w:val="291"/>
          <w:jc w:val="center"/>
        </w:trPr>
        <w:tc>
          <w:tcPr>
            <w:tcW w:w="2370" w:type="dxa"/>
            <w:vMerge w:val="restart"/>
            <w:shd w:val="clear" w:color="auto" w:fill="auto"/>
            <w:vAlign w:val="center"/>
          </w:tcPr>
          <w:p w14:paraId="3A6ECEF4" w14:textId="77777777" w:rsidR="00455596" w:rsidRPr="0094169A" w:rsidRDefault="00455596" w:rsidP="00561F0E">
            <w:pPr>
              <w:jc w:val="center"/>
              <w:rPr>
                <w:sz w:val="20"/>
                <w:lang w:eastAsia="en-US"/>
              </w:rPr>
            </w:pPr>
            <w:r w:rsidRPr="0094169A">
              <w:rPr>
                <w:sz w:val="20"/>
                <w:lang w:eastAsia="en-US"/>
              </w:rPr>
              <w:t>océan Indien</w:t>
            </w:r>
          </w:p>
        </w:tc>
        <w:tc>
          <w:tcPr>
            <w:tcW w:w="2974" w:type="dxa"/>
            <w:shd w:val="clear" w:color="auto" w:fill="auto"/>
          </w:tcPr>
          <w:p w14:paraId="4806498C" w14:textId="04479A47" w:rsidR="00455596" w:rsidRPr="0094169A" w:rsidRDefault="00455596" w:rsidP="00561F0E">
            <w:pPr>
              <w:tabs>
                <w:tab w:val="right" w:pos="932"/>
                <w:tab w:val="left" w:pos="1168"/>
              </w:tabs>
              <w:spacing w:before="60"/>
              <w:jc w:val="right"/>
              <w:rPr>
                <w:color w:val="000000"/>
                <w:sz w:val="20"/>
                <w:lang w:eastAsia="en-GB"/>
              </w:rPr>
            </w:pPr>
            <w:r w:rsidRPr="0094169A">
              <w:rPr>
                <w:color w:val="000000"/>
                <w:sz w:val="20"/>
                <w:lang w:eastAsia="en-GB"/>
              </w:rPr>
              <w:t>Captures 201</w:t>
            </w:r>
            <w:r w:rsidR="00044796">
              <w:rPr>
                <w:color w:val="000000"/>
                <w:sz w:val="20"/>
                <w:lang w:eastAsia="en-GB"/>
              </w:rPr>
              <w:t>6</w:t>
            </w:r>
            <w:r w:rsidRPr="0094169A">
              <w:rPr>
                <w:color w:val="000000"/>
                <w:sz w:val="20"/>
                <w:vertAlign w:val="superscript"/>
                <w:lang w:eastAsia="en-GB"/>
              </w:rPr>
              <w:t>2</w:t>
            </w:r>
            <w:r w:rsidRPr="0094169A">
              <w:rPr>
                <w:color w:val="000000"/>
                <w:sz w:val="20"/>
                <w:lang w:eastAsia="en-GB"/>
              </w:rPr>
              <w:t> :</w:t>
            </w:r>
          </w:p>
          <w:p w14:paraId="344050B5" w14:textId="6B071453" w:rsidR="00455596" w:rsidRPr="0094169A" w:rsidRDefault="00044796" w:rsidP="00561F0E">
            <w:pPr>
              <w:tabs>
                <w:tab w:val="right" w:pos="932"/>
                <w:tab w:val="left" w:pos="1168"/>
              </w:tabs>
              <w:jc w:val="right"/>
              <w:rPr>
                <w:color w:val="000000"/>
                <w:sz w:val="20"/>
                <w:lang w:eastAsia="en-US"/>
              </w:rPr>
            </w:pPr>
            <w:r>
              <w:rPr>
                <w:color w:val="000000"/>
                <w:sz w:val="20"/>
                <w:lang w:eastAsia="en-GB"/>
              </w:rPr>
              <w:t>Captures moyennes 2012–2016</w:t>
            </w:r>
            <w:r w:rsidR="00455596" w:rsidRPr="0094169A">
              <w:rPr>
                <w:color w:val="000000"/>
                <w:sz w:val="20"/>
                <w:lang w:eastAsia="en-GB"/>
              </w:rPr>
              <w:t> :</w:t>
            </w:r>
          </w:p>
        </w:tc>
        <w:tc>
          <w:tcPr>
            <w:tcW w:w="2410" w:type="dxa"/>
            <w:shd w:val="clear" w:color="auto" w:fill="auto"/>
            <w:vAlign w:val="center"/>
          </w:tcPr>
          <w:p w14:paraId="22650938" w14:textId="70753F87" w:rsidR="00455596" w:rsidRPr="0094169A" w:rsidRDefault="00667429" w:rsidP="00561F0E">
            <w:pPr>
              <w:rPr>
                <w:sz w:val="20"/>
                <w:lang w:eastAsia="en-GB"/>
              </w:rPr>
            </w:pPr>
            <w:r>
              <w:rPr>
                <w:sz w:val="20"/>
                <w:lang w:eastAsia="en-GB"/>
              </w:rPr>
              <w:t>16 353</w:t>
            </w:r>
            <w:r w:rsidR="00455596" w:rsidRPr="0094169A">
              <w:rPr>
                <w:sz w:val="20"/>
                <w:lang w:eastAsia="en-GB"/>
              </w:rPr>
              <w:t xml:space="preserve"> t</w:t>
            </w:r>
          </w:p>
          <w:p w14:paraId="191F7E8A" w14:textId="3F5CE127" w:rsidR="00455596" w:rsidRPr="0094169A" w:rsidRDefault="00667429" w:rsidP="00561F0E">
            <w:pPr>
              <w:rPr>
                <w:sz w:val="20"/>
                <w:lang w:eastAsia="en-US"/>
              </w:rPr>
            </w:pPr>
            <w:r>
              <w:rPr>
                <w:sz w:val="20"/>
                <w:lang w:eastAsia="en-GB"/>
              </w:rPr>
              <w:t>15 859</w:t>
            </w:r>
            <w:r w:rsidR="00455596" w:rsidRPr="0094169A">
              <w:rPr>
                <w:sz w:val="20"/>
                <w:lang w:eastAsia="en-GB"/>
              </w:rPr>
              <w:t xml:space="preserve"> t</w:t>
            </w:r>
          </w:p>
        </w:tc>
        <w:tc>
          <w:tcPr>
            <w:tcW w:w="1469" w:type="dxa"/>
            <w:vMerge w:val="restart"/>
            <w:tcBorders>
              <w:bottom w:val="single" w:sz="4" w:space="0" w:color="auto"/>
            </w:tcBorders>
            <w:shd w:val="clear" w:color="auto" w:fill="FF9900"/>
            <w:vAlign w:val="center"/>
          </w:tcPr>
          <w:p w14:paraId="68463BC3" w14:textId="77777777" w:rsidR="00455596" w:rsidRPr="0094169A" w:rsidRDefault="00455596" w:rsidP="00561F0E">
            <w:pPr>
              <w:keepNext/>
              <w:keepLines/>
              <w:jc w:val="center"/>
              <w:rPr>
                <w:b/>
                <w:sz w:val="20"/>
                <w:lang w:eastAsia="en-GB"/>
              </w:rPr>
            </w:pPr>
            <w:r w:rsidRPr="0094169A">
              <w:rPr>
                <w:b/>
                <w:sz w:val="20"/>
                <w:lang w:eastAsia="en-GB"/>
              </w:rPr>
              <w:t>46,8%*</w:t>
            </w:r>
          </w:p>
        </w:tc>
      </w:tr>
      <w:tr w:rsidR="00455596" w:rsidRPr="0094169A" w14:paraId="67BEE5AB" w14:textId="77777777" w:rsidTr="00561F0E">
        <w:trPr>
          <w:trHeight w:val="291"/>
          <w:jc w:val="center"/>
        </w:trPr>
        <w:tc>
          <w:tcPr>
            <w:tcW w:w="2370" w:type="dxa"/>
            <w:vMerge/>
            <w:shd w:val="clear" w:color="auto" w:fill="auto"/>
            <w:vAlign w:val="center"/>
          </w:tcPr>
          <w:p w14:paraId="798916F2" w14:textId="77777777" w:rsidR="00455596" w:rsidRPr="0094169A" w:rsidRDefault="00455596" w:rsidP="00561F0E">
            <w:pPr>
              <w:jc w:val="center"/>
              <w:rPr>
                <w:sz w:val="20"/>
                <w:lang w:eastAsia="en-US"/>
              </w:rPr>
            </w:pPr>
          </w:p>
        </w:tc>
        <w:tc>
          <w:tcPr>
            <w:tcW w:w="2974" w:type="dxa"/>
            <w:shd w:val="clear" w:color="auto" w:fill="auto"/>
          </w:tcPr>
          <w:p w14:paraId="1B422832" w14:textId="77777777" w:rsidR="00455596" w:rsidRPr="0094169A" w:rsidRDefault="00455596" w:rsidP="00561F0E">
            <w:pPr>
              <w:tabs>
                <w:tab w:val="right" w:pos="932"/>
                <w:tab w:val="left" w:pos="1168"/>
              </w:tabs>
              <w:jc w:val="right"/>
              <w:rPr>
                <w:color w:val="000000"/>
                <w:sz w:val="20"/>
                <w:lang w:eastAsia="en-GB"/>
              </w:rPr>
            </w:pPr>
            <w:r w:rsidRPr="0094169A">
              <w:rPr>
                <w:color w:val="000000"/>
                <w:sz w:val="20"/>
                <w:lang w:eastAsia="en-GB"/>
              </w:rPr>
              <w:t>PME (1000 t) (IC 80%) :</w:t>
            </w:r>
          </w:p>
          <w:p w14:paraId="540CB764" w14:textId="77777777" w:rsidR="00455596" w:rsidRPr="0094169A" w:rsidRDefault="00455596" w:rsidP="00561F0E">
            <w:pPr>
              <w:tabs>
                <w:tab w:val="right" w:pos="932"/>
                <w:tab w:val="left" w:pos="1168"/>
              </w:tabs>
              <w:jc w:val="right"/>
              <w:rPr>
                <w:color w:val="000000"/>
                <w:sz w:val="20"/>
                <w:lang w:eastAsia="en-GB"/>
              </w:rPr>
            </w:pPr>
            <w:r w:rsidRPr="0094169A">
              <w:rPr>
                <w:color w:val="000000"/>
                <w:sz w:val="20"/>
                <w:lang w:eastAsia="en-GB"/>
              </w:rPr>
              <w:t>F</w:t>
            </w:r>
            <w:r w:rsidRPr="0094169A">
              <w:rPr>
                <w:color w:val="000000"/>
                <w:sz w:val="20"/>
                <w:vertAlign w:val="subscript"/>
                <w:lang w:eastAsia="en-GB"/>
              </w:rPr>
              <w:t xml:space="preserve">PME </w:t>
            </w:r>
            <w:r w:rsidRPr="0094169A">
              <w:rPr>
                <w:color w:val="000000"/>
                <w:sz w:val="20"/>
                <w:lang w:eastAsia="en-GB"/>
              </w:rPr>
              <w:t>(IC 80%) :</w:t>
            </w:r>
          </w:p>
          <w:p w14:paraId="06E45E22" w14:textId="77777777" w:rsidR="00455596" w:rsidRPr="0094169A" w:rsidRDefault="00455596" w:rsidP="00561F0E">
            <w:pPr>
              <w:tabs>
                <w:tab w:val="right" w:pos="932"/>
                <w:tab w:val="left" w:pos="1168"/>
              </w:tabs>
              <w:jc w:val="right"/>
              <w:rPr>
                <w:color w:val="FF0000"/>
                <w:sz w:val="20"/>
                <w:lang w:eastAsia="en-GB"/>
              </w:rPr>
            </w:pPr>
            <w:r w:rsidRPr="0094169A">
              <w:rPr>
                <w:color w:val="000000"/>
                <w:sz w:val="20"/>
                <w:lang w:eastAsia="en-GB"/>
              </w:rPr>
              <w:t>B</w:t>
            </w:r>
            <w:r w:rsidRPr="0094169A">
              <w:rPr>
                <w:color w:val="000000"/>
                <w:sz w:val="20"/>
                <w:vertAlign w:val="subscript"/>
                <w:lang w:eastAsia="en-GB"/>
              </w:rPr>
              <w:t>PME</w:t>
            </w:r>
            <w:r w:rsidRPr="0094169A">
              <w:rPr>
                <w:color w:val="000000"/>
                <w:sz w:val="20"/>
                <w:lang w:eastAsia="en-GB"/>
              </w:rPr>
              <w:t xml:space="preserve"> (1000 t) (IC 80%) :</w:t>
            </w:r>
          </w:p>
          <w:p w14:paraId="01FBF9EC" w14:textId="77777777" w:rsidR="00455596" w:rsidRPr="0094169A" w:rsidRDefault="00455596" w:rsidP="00561F0E">
            <w:pPr>
              <w:tabs>
                <w:tab w:val="right" w:pos="932"/>
                <w:tab w:val="left" w:pos="1168"/>
              </w:tabs>
              <w:jc w:val="right"/>
              <w:rPr>
                <w:color w:val="000000" w:themeColor="text1"/>
                <w:sz w:val="20"/>
                <w:lang w:eastAsia="en-GB"/>
              </w:rPr>
            </w:pPr>
            <w:r w:rsidRPr="0094169A">
              <w:rPr>
                <w:color w:val="000000" w:themeColor="text1"/>
                <w:sz w:val="20"/>
                <w:lang w:eastAsia="en-GB"/>
              </w:rPr>
              <w:t>F</w:t>
            </w:r>
            <w:r w:rsidRPr="0094169A">
              <w:rPr>
                <w:color w:val="000000" w:themeColor="text1"/>
                <w:sz w:val="20"/>
                <w:vertAlign w:val="subscript"/>
                <w:lang w:eastAsia="en-GB"/>
              </w:rPr>
              <w:t>2015/</w:t>
            </w:r>
            <w:r w:rsidRPr="0094169A">
              <w:rPr>
                <w:color w:val="000000" w:themeColor="text1"/>
                <w:sz w:val="20"/>
                <w:lang w:eastAsia="en-GB"/>
              </w:rPr>
              <w:t>F</w:t>
            </w:r>
            <w:r w:rsidRPr="0094169A">
              <w:rPr>
                <w:color w:val="000000" w:themeColor="text1"/>
                <w:sz w:val="20"/>
                <w:vertAlign w:val="subscript"/>
                <w:lang w:eastAsia="en-GB"/>
              </w:rPr>
              <w:t xml:space="preserve">PME </w:t>
            </w:r>
            <w:r w:rsidRPr="0094169A">
              <w:rPr>
                <w:color w:val="000000" w:themeColor="text1"/>
                <w:sz w:val="20"/>
                <w:lang w:eastAsia="en-GB"/>
              </w:rPr>
              <w:t>(IC 80%) :</w:t>
            </w:r>
          </w:p>
          <w:p w14:paraId="3AAF95B9" w14:textId="77777777" w:rsidR="00455596" w:rsidRPr="0094169A" w:rsidRDefault="00455596" w:rsidP="00561F0E">
            <w:pPr>
              <w:tabs>
                <w:tab w:val="right" w:pos="932"/>
                <w:tab w:val="left" w:pos="1168"/>
              </w:tabs>
              <w:jc w:val="right"/>
              <w:rPr>
                <w:color w:val="000000" w:themeColor="text1"/>
                <w:sz w:val="20"/>
                <w:lang w:eastAsia="en-GB"/>
              </w:rPr>
            </w:pPr>
            <w:r w:rsidRPr="0094169A">
              <w:rPr>
                <w:color w:val="000000" w:themeColor="text1"/>
                <w:sz w:val="20"/>
                <w:lang w:eastAsia="en-GB"/>
              </w:rPr>
              <w:t>B</w:t>
            </w:r>
            <w:r w:rsidRPr="0094169A">
              <w:rPr>
                <w:color w:val="000000" w:themeColor="text1"/>
                <w:sz w:val="20"/>
                <w:vertAlign w:val="subscript"/>
                <w:lang w:eastAsia="en-GB"/>
              </w:rPr>
              <w:t>2015/</w:t>
            </w:r>
            <w:r w:rsidRPr="0094169A">
              <w:rPr>
                <w:color w:val="000000" w:themeColor="text1"/>
                <w:sz w:val="20"/>
                <w:lang w:eastAsia="en-GB"/>
              </w:rPr>
              <w:t>B</w:t>
            </w:r>
            <w:r w:rsidRPr="0094169A">
              <w:rPr>
                <w:color w:val="000000" w:themeColor="text1"/>
                <w:sz w:val="20"/>
                <w:vertAlign w:val="subscript"/>
                <w:lang w:eastAsia="en-GB"/>
              </w:rPr>
              <w:t xml:space="preserve">PME </w:t>
            </w:r>
            <w:r w:rsidRPr="0094169A">
              <w:rPr>
                <w:color w:val="000000" w:themeColor="text1"/>
                <w:sz w:val="20"/>
                <w:lang w:eastAsia="en-GB"/>
              </w:rPr>
              <w:t>(IC 80%) :</w:t>
            </w:r>
          </w:p>
          <w:p w14:paraId="7D0F9C84" w14:textId="77777777" w:rsidR="00455596" w:rsidRPr="0094169A" w:rsidRDefault="00455596" w:rsidP="00561F0E">
            <w:pPr>
              <w:tabs>
                <w:tab w:val="right" w:pos="932"/>
                <w:tab w:val="left" w:pos="1168"/>
              </w:tabs>
              <w:jc w:val="right"/>
              <w:rPr>
                <w:color w:val="000000"/>
                <w:sz w:val="20"/>
                <w:lang w:eastAsia="en-US"/>
              </w:rPr>
            </w:pPr>
            <w:r w:rsidRPr="0094169A">
              <w:rPr>
                <w:color w:val="000000" w:themeColor="text1"/>
                <w:sz w:val="20"/>
              </w:rPr>
              <w:t>B</w:t>
            </w:r>
            <w:r w:rsidRPr="0094169A">
              <w:rPr>
                <w:color w:val="000000" w:themeColor="text1"/>
                <w:sz w:val="20"/>
                <w:vertAlign w:val="subscript"/>
              </w:rPr>
              <w:t>2015</w:t>
            </w:r>
            <w:r w:rsidRPr="0094169A">
              <w:rPr>
                <w:color w:val="000000" w:themeColor="text1"/>
                <w:sz w:val="20"/>
              </w:rPr>
              <w:t>/B</w:t>
            </w:r>
            <w:r w:rsidRPr="0094169A">
              <w:rPr>
                <w:color w:val="000000" w:themeColor="text1"/>
                <w:sz w:val="20"/>
                <w:vertAlign w:val="subscript"/>
              </w:rPr>
              <w:t xml:space="preserve">1950 </w:t>
            </w:r>
            <w:r w:rsidRPr="0094169A">
              <w:rPr>
                <w:color w:val="000000"/>
                <w:sz w:val="20"/>
                <w:lang w:eastAsia="en-GB"/>
              </w:rPr>
              <w:t>(IC 80%) :</w:t>
            </w:r>
          </w:p>
        </w:tc>
        <w:tc>
          <w:tcPr>
            <w:tcW w:w="2410" w:type="dxa"/>
            <w:shd w:val="clear" w:color="auto" w:fill="auto"/>
          </w:tcPr>
          <w:p w14:paraId="5AF481A4" w14:textId="6AD72291" w:rsidR="00455596" w:rsidRPr="0094169A" w:rsidRDefault="00044796" w:rsidP="00044796">
            <w:pPr>
              <w:jc w:val="left"/>
              <w:rPr>
                <w:sz w:val="20"/>
                <w:lang w:eastAsia="en-GB"/>
              </w:rPr>
            </w:pPr>
            <w:r>
              <w:rPr>
                <w:sz w:val="20"/>
                <w:lang w:eastAsia="en-GB"/>
              </w:rPr>
              <w:t>11,93</w:t>
            </w:r>
            <w:r w:rsidR="00455596" w:rsidRPr="0094169A">
              <w:rPr>
                <w:sz w:val="20"/>
                <w:lang w:eastAsia="en-GB"/>
              </w:rPr>
              <w:t xml:space="preserve"> (9,23</w:t>
            </w:r>
            <w:r w:rsidR="00455596" w:rsidRPr="0094169A">
              <w:rPr>
                <w:bCs/>
                <w:kern w:val="24"/>
                <w:sz w:val="20"/>
                <w:lang w:eastAsia="en-AU"/>
              </w:rPr>
              <w:t>–</w:t>
            </w:r>
            <w:r>
              <w:rPr>
                <w:sz w:val="20"/>
                <w:lang w:eastAsia="en-GB"/>
              </w:rPr>
              <w:t>16,15</w:t>
            </w:r>
            <w:r w:rsidR="00455596" w:rsidRPr="0094169A">
              <w:rPr>
                <w:sz w:val="20"/>
                <w:lang w:eastAsia="en-GB"/>
              </w:rPr>
              <w:t>)</w:t>
            </w:r>
          </w:p>
          <w:p w14:paraId="711E5CFF" w14:textId="77777777" w:rsidR="00455596" w:rsidRPr="0094169A" w:rsidRDefault="00455596" w:rsidP="00044796">
            <w:pPr>
              <w:jc w:val="left"/>
              <w:rPr>
                <w:sz w:val="20"/>
                <w:lang w:eastAsia="en-GB"/>
              </w:rPr>
            </w:pPr>
            <w:r w:rsidRPr="0094169A">
              <w:rPr>
                <w:sz w:val="20"/>
                <w:lang w:eastAsia="en-GB"/>
              </w:rPr>
              <w:t>0,109 (0,076 –0,160)</w:t>
            </w:r>
          </w:p>
          <w:p w14:paraId="34E29C79" w14:textId="764BC30E" w:rsidR="00455596" w:rsidRPr="0094169A" w:rsidRDefault="00044796" w:rsidP="00044796">
            <w:pPr>
              <w:jc w:val="left"/>
              <w:rPr>
                <w:sz w:val="20"/>
                <w:lang w:eastAsia="en-GB"/>
              </w:rPr>
            </w:pPr>
            <w:r>
              <w:rPr>
                <w:sz w:val="20"/>
                <w:lang w:eastAsia="en-GB"/>
              </w:rPr>
              <w:t>113 (71,7– 161,9</w:t>
            </w:r>
            <w:r w:rsidR="00455596" w:rsidRPr="0094169A">
              <w:rPr>
                <w:sz w:val="20"/>
                <w:lang w:eastAsia="en-GB"/>
              </w:rPr>
              <w:t>)</w:t>
            </w:r>
          </w:p>
          <w:p w14:paraId="74998EEB" w14:textId="77777777" w:rsidR="00455596" w:rsidRPr="0094169A" w:rsidRDefault="00455596" w:rsidP="00044796">
            <w:pPr>
              <w:jc w:val="left"/>
              <w:rPr>
                <w:bCs/>
                <w:kern w:val="24"/>
                <w:sz w:val="20"/>
                <w:lang w:eastAsia="en-AU"/>
              </w:rPr>
            </w:pPr>
            <w:r w:rsidRPr="0094169A">
              <w:rPr>
                <w:bCs/>
                <w:kern w:val="24"/>
                <w:sz w:val="20"/>
                <w:lang w:eastAsia="en-AU"/>
              </w:rPr>
              <w:t>1,18 (0,80–1,71)</w:t>
            </w:r>
          </w:p>
          <w:p w14:paraId="420CB9B8" w14:textId="77777777" w:rsidR="00455596" w:rsidRPr="0094169A" w:rsidRDefault="00455596" w:rsidP="00044796">
            <w:pPr>
              <w:jc w:val="left"/>
              <w:rPr>
                <w:bCs/>
                <w:kern w:val="24"/>
                <w:sz w:val="20"/>
                <w:lang w:eastAsia="en-AU"/>
              </w:rPr>
            </w:pPr>
            <w:r w:rsidRPr="0094169A">
              <w:rPr>
                <w:bCs/>
                <w:kern w:val="24"/>
                <w:sz w:val="20"/>
                <w:lang w:eastAsia="en-AU"/>
              </w:rPr>
              <w:t>1,11 (0,90–1,35)</w:t>
            </w:r>
          </w:p>
          <w:p w14:paraId="7D3D947E" w14:textId="77777777" w:rsidR="00455596" w:rsidRPr="0094169A" w:rsidRDefault="00455596" w:rsidP="00044796">
            <w:pPr>
              <w:jc w:val="left"/>
              <w:rPr>
                <w:color w:val="000000"/>
                <w:sz w:val="20"/>
                <w:lang w:eastAsia="en-US"/>
              </w:rPr>
            </w:pPr>
            <w:r w:rsidRPr="0094169A">
              <w:rPr>
                <w:sz w:val="20"/>
                <w:lang w:eastAsia="en-GB"/>
              </w:rPr>
              <w:t>0,56 (0,44 – 0,71)</w:t>
            </w:r>
          </w:p>
        </w:tc>
        <w:tc>
          <w:tcPr>
            <w:tcW w:w="1469" w:type="dxa"/>
            <w:vMerge/>
            <w:tcBorders>
              <w:top w:val="single" w:sz="4" w:space="0" w:color="auto"/>
              <w:bottom w:val="single" w:sz="4" w:space="0" w:color="auto"/>
            </w:tcBorders>
            <w:shd w:val="clear" w:color="auto" w:fill="FF9900"/>
            <w:vAlign w:val="center"/>
          </w:tcPr>
          <w:p w14:paraId="3E769F02" w14:textId="77777777" w:rsidR="00455596" w:rsidRPr="0094169A" w:rsidRDefault="00455596" w:rsidP="00561F0E">
            <w:pPr>
              <w:keepNext/>
              <w:keepLines/>
              <w:widowControl w:val="0"/>
              <w:jc w:val="center"/>
              <w:outlineLvl w:val="0"/>
              <w:rPr>
                <w:sz w:val="20"/>
                <w:lang w:eastAsia="en-US"/>
              </w:rPr>
            </w:pPr>
          </w:p>
        </w:tc>
      </w:tr>
    </w:tbl>
    <w:p w14:paraId="217DB813" w14:textId="77777777" w:rsidR="00455596" w:rsidRPr="0094169A" w:rsidRDefault="00455596" w:rsidP="00455596">
      <w:pPr>
        <w:keepNext/>
        <w:keepLines/>
        <w:widowControl w:val="0"/>
        <w:ind w:firstLine="720"/>
        <w:outlineLvl w:val="0"/>
        <w:rPr>
          <w:color w:val="000000"/>
          <w:sz w:val="18"/>
          <w:szCs w:val="18"/>
        </w:rPr>
      </w:pPr>
      <w:r w:rsidRPr="0094169A">
        <w:rPr>
          <w:color w:val="000000"/>
          <w:sz w:val="18"/>
          <w:szCs w:val="18"/>
          <w:vertAlign w:val="superscript"/>
        </w:rPr>
        <w:t>1</w:t>
      </w:r>
      <w:r w:rsidRPr="0094169A">
        <w:rPr>
          <w:color w:val="000000"/>
          <w:sz w:val="18"/>
          <w:szCs w:val="18"/>
        </w:rPr>
        <w:t>Limites pour l’océan Indien = zone de compétence de la CTOI.</w:t>
      </w:r>
    </w:p>
    <w:p w14:paraId="6F0B7A68" w14:textId="2A0D6C94" w:rsidR="00455596" w:rsidRPr="0094169A" w:rsidRDefault="00455596" w:rsidP="00455596">
      <w:pPr>
        <w:keepNext/>
        <w:keepLines/>
        <w:widowControl w:val="0"/>
        <w:ind w:firstLine="720"/>
        <w:outlineLvl w:val="0"/>
        <w:rPr>
          <w:color w:val="000000"/>
          <w:sz w:val="18"/>
          <w:szCs w:val="18"/>
        </w:rPr>
      </w:pPr>
      <w:r w:rsidRPr="0094169A">
        <w:rPr>
          <w:color w:val="000000"/>
          <w:sz w:val="18"/>
          <w:szCs w:val="18"/>
          <w:vertAlign w:val="superscript"/>
        </w:rPr>
        <w:t>2</w:t>
      </w:r>
      <w:r w:rsidRPr="0094169A">
        <w:rPr>
          <w:color w:val="000000"/>
          <w:sz w:val="18"/>
          <w:szCs w:val="18"/>
        </w:rPr>
        <w:t>Proportion des captures estimées ou partiellement estimées par le Secrétariat de la CTOI en 201</w:t>
      </w:r>
      <w:r w:rsidR="00044796">
        <w:rPr>
          <w:color w:val="000000"/>
          <w:sz w:val="18"/>
          <w:szCs w:val="18"/>
        </w:rPr>
        <w:t>6 : 41</w:t>
      </w:r>
      <w:r w:rsidRPr="0094169A">
        <w:rPr>
          <w:color w:val="000000"/>
          <w:sz w:val="18"/>
          <w:szCs w:val="18"/>
        </w:rPr>
        <w:t>%</w:t>
      </w:r>
    </w:p>
    <w:p w14:paraId="2663C8E4" w14:textId="77777777" w:rsidR="00455596" w:rsidRPr="0094169A" w:rsidRDefault="00455596" w:rsidP="00455596">
      <w:pPr>
        <w:keepNext/>
        <w:keepLines/>
        <w:widowControl w:val="0"/>
        <w:ind w:left="709"/>
        <w:outlineLvl w:val="0"/>
        <w:rPr>
          <w:color w:val="000000"/>
          <w:sz w:val="18"/>
          <w:szCs w:val="18"/>
        </w:rPr>
      </w:pPr>
      <w:r w:rsidRPr="0094169A">
        <w:rPr>
          <w:color w:val="000000"/>
          <w:sz w:val="18"/>
          <w:szCs w:val="18"/>
        </w:rPr>
        <w:t>*Probabilité estimée que le stock se trouve dans le cadrant correspondant du graphe de Kobe (plus bas), dérivée des intervalles de confiance associés à l’état actuel du stock</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86"/>
        <w:gridCol w:w="2977"/>
        <w:gridCol w:w="3169"/>
      </w:tblGrid>
      <w:tr w:rsidR="00455596" w:rsidRPr="0094169A" w14:paraId="08FDF561" w14:textId="77777777" w:rsidTr="00561F0E">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D1E95E3" w14:textId="77777777" w:rsidR="00455596" w:rsidRPr="0094169A" w:rsidRDefault="00455596" w:rsidP="00561F0E">
            <w:pPr>
              <w:keepNext/>
              <w:keepLines/>
              <w:jc w:val="center"/>
              <w:rPr>
                <w:b/>
                <w:sz w:val="18"/>
                <w:szCs w:val="18"/>
                <w:lang w:eastAsia="en-GB"/>
              </w:rPr>
            </w:pPr>
            <w:r w:rsidRPr="0094169A">
              <w:rPr>
                <w:b/>
                <w:sz w:val="18"/>
                <w:szCs w:val="18"/>
                <w:lang w:eastAsia="en-GB"/>
              </w:rPr>
              <w:t>Légende du code couleur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69151B" w14:textId="77777777" w:rsidR="00455596" w:rsidRPr="0094169A" w:rsidRDefault="00455596" w:rsidP="00561F0E">
            <w:pPr>
              <w:keepNext/>
              <w:keepLines/>
              <w:jc w:val="center"/>
              <w:rPr>
                <w:sz w:val="18"/>
                <w:szCs w:val="18"/>
                <w:lang w:eastAsia="en-GB"/>
              </w:rPr>
            </w:pPr>
            <w:r w:rsidRPr="0094169A">
              <w:rPr>
                <w:sz w:val="18"/>
                <w:szCs w:val="18"/>
                <w:lang w:eastAsia="en-GB"/>
              </w:rPr>
              <w:t>Stock surexploité (SB</w:t>
            </w:r>
            <w:r w:rsidRPr="0094169A">
              <w:rPr>
                <w:sz w:val="18"/>
                <w:szCs w:val="18"/>
                <w:vertAlign w:val="subscript"/>
                <w:lang w:eastAsia="en-GB"/>
              </w:rPr>
              <w:t>année</w:t>
            </w:r>
            <w:r w:rsidRPr="0094169A">
              <w:rPr>
                <w:sz w:val="18"/>
                <w:szCs w:val="18"/>
                <w:lang w:eastAsia="en-GB"/>
              </w:rPr>
              <w:t>/SB</w:t>
            </w:r>
            <w:r w:rsidRPr="0094169A">
              <w:rPr>
                <w:sz w:val="18"/>
                <w:szCs w:val="18"/>
                <w:vertAlign w:val="subscript"/>
                <w:lang w:eastAsia="en-GB"/>
              </w:rPr>
              <w:t>PME</w:t>
            </w:r>
            <w:r w:rsidRPr="0094169A">
              <w:rPr>
                <w:sz w:val="18"/>
                <w:szCs w:val="18"/>
                <w:lang w:eastAsia="en-GB"/>
              </w:rPr>
              <w:t>&lt; 1)</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tcPr>
          <w:p w14:paraId="4F5B9F60" w14:textId="77777777" w:rsidR="00455596" w:rsidRPr="0094169A" w:rsidRDefault="00455596" w:rsidP="00561F0E">
            <w:pPr>
              <w:keepNext/>
              <w:keepLines/>
              <w:jc w:val="center"/>
              <w:rPr>
                <w:sz w:val="18"/>
                <w:szCs w:val="18"/>
                <w:lang w:eastAsia="en-GB"/>
              </w:rPr>
            </w:pPr>
            <w:r w:rsidRPr="0094169A">
              <w:rPr>
                <w:sz w:val="18"/>
                <w:szCs w:val="18"/>
                <w:lang w:eastAsia="en-GB"/>
              </w:rPr>
              <w:t>Stock non surexploité (SB</w:t>
            </w:r>
            <w:r w:rsidRPr="0094169A">
              <w:rPr>
                <w:sz w:val="18"/>
                <w:szCs w:val="18"/>
                <w:vertAlign w:val="subscript"/>
                <w:lang w:eastAsia="en-GB"/>
              </w:rPr>
              <w:t>année</w:t>
            </w:r>
            <w:r w:rsidRPr="0094169A">
              <w:rPr>
                <w:sz w:val="18"/>
                <w:szCs w:val="18"/>
                <w:lang w:eastAsia="en-GB"/>
              </w:rPr>
              <w:t>/SB</w:t>
            </w:r>
            <w:r w:rsidRPr="0094169A">
              <w:rPr>
                <w:sz w:val="18"/>
                <w:szCs w:val="18"/>
                <w:vertAlign w:val="subscript"/>
                <w:lang w:eastAsia="en-GB"/>
              </w:rPr>
              <w:t>PME</w:t>
            </w:r>
            <w:r w:rsidRPr="0094169A">
              <w:rPr>
                <w:sz w:val="18"/>
                <w:szCs w:val="18"/>
                <w:lang w:eastAsia="en-GB"/>
              </w:rPr>
              <w:t>≥1)</w:t>
            </w:r>
          </w:p>
        </w:tc>
      </w:tr>
      <w:tr w:rsidR="00455596" w:rsidRPr="0094169A" w14:paraId="11409B2F" w14:textId="77777777" w:rsidTr="00561F0E">
        <w:trPr>
          <w:trHeight w:val="224"/>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11BB3301" w14:textId="77777777" w:rsidR="00455596" w:rsidRPr="0094169A" w:rsidRDefault="00455596" w:rsidP="00561F0E">
            <w:pPr>
              <w:keepNext/>
              <w:keepLines/>
              <w:jc w:val="center"/>
              <w:rPr>
                <w:sz w:val="18"/>
                <w:szCs w:val="18"/>
                <w:lang w:eastAsia="en-GB"/>
              </w:rPr>
            </w:pPr>
            <w:r w:rsidRPr="0094169A">
              <w:rPr>
                <w:sz w:val="18"/>
                <w:szCs w:val="18"/>
                <w:lang w:eastAsia="en-GB"/>
              </w:rPr>
              <w:t>Stock sujet à la surpêche (F</w:t>
            </w:r>
            <w:r w:rsidRPr="0094169A">
              <w:rPr>
                <w:sz w:val="18"/>
                <w:szCs w:val="18"/>
                <w:vertAlign w:val="subscript"/>
                <w:lang w:eastAsia="en-GB"/>
              </w:rPr>
              <w:t>année</w:t>
            </w:r>
            <w:r w:rsidRPr="0094169A">
              <w:rPr>
                <w:sz w:val="18"/>
                <w:szCs w:val="18"/>
                <w:lang w:eastAsia="en-GB"/>
              </w:rPr>
              <w:t>/F</w:t>
            </w:r>
            <w:r w:rsidRPr="0094169A">
              <w:rPr>
                <w:sz w:val="18"/>
                <w:szCs w:val="18"/>
                <w:vertAlign w:val="subscript"/>
                <w:lang w:eastAsia="en-GB"/>
              </w:rPr>
              <w:t>PME</w:t>
            </w:r>
            <w:r w:rsidRPr="0094169A">
              <w:rPr>
                <w:sz w:val="18"/>
                <w:szCs w:val="18"/>
                <w:lang w:eastAsia="en-GB"/>
              </w:rPr>
              <w:t>&gt;1)</w:t>
            </w:r>
          </w:p>
        </w:tc>
        <w:tc>
          <w:tcPr>
            <w:tcW w:w="2977" w:type="dxa"/>
            <w:tcBorders>
              <w:top w:val="single" w:sz="4" w:space="0" w:color="auto"/>
              <w:left w:val="single" w:sz="4" w:space="0" w:color="auto"/>
              <w:bottom w:val="single" w:sz="4" w:space="0" w:color="auto"/>
              <w:right w:val="single" w:sz="4" w:space="0" w:color="auto"/>
            </w:tcBorders>
            <w:shd w:val="clear" w:color="auto" w:fill="FF0000"/>
            <w:vAlign w:val="center"/>
          </w:tcPr>
          <w:p w14:paraId="55A059A5" w14:textId="77777777" w:rsidR="00455596" w:rsidRPr="0094169A" w:rsidRDefault="00455596" w:rsidP="00561F0E">
            <w:pPr>
              <w:keepNext/>
              <w:keepLines/>
              <w:jc w:val="center"/>
              <w:rPr>
                <w:sz w:val="18"/>
                <w:szCs w:val="18"/>
                <w:lang w:eastAsia="en-GB"/>
              </w:rPr>
            </w:pPr>
            <w:r w:rsidRPr="0094169A">
              <w:rPr>
                <w:sz w:val="18"/>
                <w:szCs w:val="18"/>
                <w:lang w:eastAsia="en-GB"/>
              </w:rPr>
              <w:t>24,6%</w:t>
            </w:r>
          </w:p>
        </w:tc>
        <w:tc>
          <w:tcPr>
            <w:tcW w:w="3169" w:type="dxa"/>
            <w:tcBorders>
              <w:top w:val="single" w:sz="4" w:space="0" w:color="auto"/>
              <w:left w:val="single" w:sz="4" w:space="0" w:color="auto"/>
              <w:bottom w:val="single" w:sz="4" w:space="0" w:color="auto"/>
              <w:right w:val="single" w:sz="4" w:space="0" w:color="auto"/>
            </w:tcBorders>
            <w:shd w:val="clear" w:color="auto" w:fill="FF9900"/>
            <w:vAlign w:val="center"/>
          </w:tcPr>
          <w:p w14:paraId="039BF632" w14:textId="77777777" w:rsidR="00455596" w:rsidRPr="0094169A" w:rsidRDefault="00455596" w:rsidP="00561F0E">
            <w:pPr>
              <w:keepNext/>
              <w:keepLines/>
              <w:jc w:val="center"/>
              <w:rPr>
                <w:sz w:val="18"/>
                <w:szCs w:val="18"/>
                <w:lang w:eastAsia="en-GB"/>
              </w:rPr>
            </w:pPr>
            <w:r w:rsidRPr="0094169A">
              <w:rPr>
                <w:sz w:val="18"/>
                <w:szCs w:val="18"/>
                <w:lang w:eastAsia="en-GB"/>
              </w:rPr>
              <w:t>46,8%</w:t>
            </w:r>
          </w:p>
        </w:tc>
      </w:tr>
      <w:tr w:rsidR="00455596" w:rsidRPr="0094169A" w14:paraId="5318FE49" w14:textId="77777777" w:rsidTr="00561F0E">
        <w:trPr>
          <w:trHeight w:val="260"/>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68E0455" w14:textId="77777777" w:rsidR="00455596" w:rsidRPr="0094169A" w:rsidRDefault="00455596" w:rsidP="00561F0E">
            <w:pPr>
              <w:keepNext/>
              <w:keepLines/>
              <w:jc w:val="center"/>
              <w:rPr>
                <w:sz w:val="18"/>
                <w:szCs w:val="18"/>
                <w:lang w:eastAsia="en-GB"/>
              </w:rPr>
            </w:pPr>
            <w:r w:rsidRPr="0094169A">
              <w:rPr>
                <w:sz w:val="18"/>
                <w:szCs w:val="18"/>
                <w:lang w:eastAsia="en-GB"/>
              </w:rPr>
              <w:t>Stock non sujet à la surpêche (F</w:t>
            </w:r>
            <w:r w:rsidRPr="0094169A">
              <w:rPr>
                <w:sz w:val="18"/>
                <w:szCs w:val="18"/>
                <w:vertAlign w:val="subscript"/>
                <w:lang w:eastAsia="en-GB"/>
              </w:rPr>
              <w:t>année</w:t>
            </w:r>
            <w:r w:rsidRPr="0094169A">
              <w:rPr>
                <w:sz w:val="18"/>
                <w:szCs w:val="18"/>
                <w:lang w:eastAsia="en-GB"/>
              </w:rPr>
              <w:t>/F</w:t>
            </w:r>
            <w:r w:rsidRPr="0094169A">
              <w:rPr>
                <w:sz w:val="18"/>
                <w:szCs w:val="18"/>
                <w:vertAlign w:val="subscript"/>
                <w:lang w:eastAsia="en-GB"/>
              </w:rPr>
              <w:t>PME</w:t>
            </w:r>
            <w:r w:rsidRPr="0094169A">
              <w:rPr>
                <w:sz w:val="18"/>
                <w:szCs w:val="18"/>
                <w:lang w:eastAsia="en-GB"/>
              </w:rPr>
              <w:t>≤1)</w:t>
            </w: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14:paraId="41491BCD" w14:textId="77777777" w:rsidR="00455596" w:rsidRPr="0094169A" w:rsidRDefault="00455596" w:rsidP="00561F0E">
            <w:pPr>
              <w:keepNext/>
              <w:keepLines/>
              <w:jc w:val="center"/>
              <w:rPr>
                <w:sz w:val="18"/>
                <w:szCs w:val="18"/>
                <w:lang w:eastAsia="en-GB"/>
              </w:rPr>
            </w:pPr>
            <w:r w:rsidRPr="0094169A">
              <w:rPr>
                <w:sz w:val="18"/>
                <w:szCs w:val="18"/>
                <w:lang w:eastAsia="en-GB"/>
              </w:rPr>
              <w:t>1,0%</w:t>
            </w:r>
          </w:p>
        </w:tc>
        <w:tc>
          <w:tcPr>
            <w:tcW w:w="3169" w:type="dxa"/>
            <w:tcBorders>
              <w:top w:val="single" w:sz="4" w:space="0" w:color="auto"/>
              <w:left w:val="single" w:sz="4" w:space="0" w:color="auto"/>
              <w:bottom w:val="single" w:sz="4" w:space="0" w:color="auto"/>
              <w:right w:val="single" w:sz="4" w:space="0" w:color="auto"/>
            </w:tcBorders>
            <w:shd w:val="clear" w:color="auto" w:fill="92D050"/>
            <w:vAlign w:val="center"/>
          </w:tcPr>
          <w:p w14:paraId="2CBC691B" w14:textId="77777777" w:rsidR="00455596" w:rsidRPr="0094169A" w:rsidRDefault="00455596" w:rsidP="00561F0E">
            <w:pPr>
              <w:keepNext/>
              <w:keepLines/>
              <w:jc w:val="center"/>
              <w:rPr>
                <w:sz w:val="18"/>
                <w:szCs w:val="18"/>
                <w:lang w:eastAsia="en-GB"/>
              </w:rPr>
            </w:pPr>
            <w:r w:rsidRPr="0094169A">
              <w:rPr>
                <w:sz w:val="18"/>
                <w:szCs w:val="18"/>
                <w:lang w:eastAsia="en-GB"/>
              </w:rPr>
              <w:t>27,6%</w:t>
            </w:r>
          </w:p>
        </w:tc>
      </w:tr>
      <w:tr w:rsidR="00455596" w:rsidRPr="0094169A" w14:paraId="749E6F62" w14:textId="77777777" w:rsidTr="00561F0E">
        <w:trPr>
          <w:trHeight w:val="260"/>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00E00952" w14:textId="77777777" w:rsidR="00455596" w:rsidRPr="0094169A" w:rsidRDefault="00455596" w:rsidP="00561F0E">
            <w:pPr>
              <w:keepNext/>
              <w:keepLines/>
              <w:jc w:val="center"/>
              <w:rPr>
                <w:sz w:val="18"/>
                <w:szCs w:val="18"/>
                <w:lang w:eastAsia="en-GB"/>
              </w:rPr>
            </w:pPr>
            <w:r w:rsidRPr="0094169A">
              <w:rPr>
                <w:sz w:val="18"/>
                <w:szCs w:val="18"/>
                <w:lang w:eastAsia="en-GB"/>
              </w:rPr>
              <w:t>Pas évalué/incertain</w:t>
            </w:r>
          </w:p>
        </w:tc>
        <w:tc>
          <w:tcPr>
            <w:tcW w:w="61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D23740" w14:textId="77777777" w:rsidR="00455596" w:rsidRPr="0094169A" w:rsidRDefault="00455596" w:rsidP="00561F0E">
            <w:pPr>
              <w:keepNext/>
              <w:keepLines/>
              <w:jc w:val="center"/>
              <w:rPr>
                <w:sz w:val="18"/>
                <w:szCs w:val="18"/>
                <w:lang w:eastAsia="en-GB"/>
              </w:rPr>
            </w:pPr>
          </w:p>
        </w:tc>
      </w:tr>
    </w:tbl>
    <w:p w14:paraId="7D2405D6" w14:textId="77777777" w:rsidR="00455596" w:rsidRPr="0094169A" w:rsidRDefault="00455596" w:rsidP="00455596">
      <w:pPr>
        <w:widowControl w:val="0"/>
        <w:spacing w:after="120"/>
        <w:outlineLvl w:val="0"/>
        <w:rPr>
          <w:b/>
          <w:bCs/>
          <w:smallCaps/>
          <w:kern w:val="32"/>
          <w:sz w:val="20"/>
        </w:rPr>
      </w:pPr>
    </w:p>
    <w:p w14:paraId="6A00D54E" w14:textId="77777777" w:rsidR="00455596" w:rsidRPr="0094169A" w:rsidRDefault="00455596" w:rsidP="00455596">
      <w:pPr>
        <w:keepNext/>
        <w:keepLines/>
        <w:widowControl w:val="0"/>
        <w:spacing w:after="120"/>
        <w:outlineLvl w:val="0"/>
        <w:rPr>
          <w:b/>
          <w:bCs/>
          <w:smallCaps/>
          <w:color w:val="000000"/>
          <w:kern w:val="32"/>
        </w:rPr>
      </w:pPr>
      <w:r w:rsidRPr="0094169A">
        <w:rPr>
          <w:b/>
          <w:bCs/>
          <w:smallCaps/>
          <w:color w:val="000000"/>
          <w:kern w:val="32"/>
        </w:rPr>
        <w:t>Stock de l’océan Indien – Avis de gestion</w:t>
      </w:r>
    </w:p>
    <w:p w14:paraId="3D040733" w14:textId="28BD9F0C" w:rsidR="00455596" w:rsidRPr="0094169A" w:rsidRDefault="00455596" w:rsidP="00455596">
      <w:pPr>
        <w:widowControl w:val="0"/>
        <w:tabs>
          <w:tab w:val="right" w:pos="993"/>
        </w:tabs>
        <w:spacing w:after="120"/>
        <w:outlineLvl w:val="2"/>
        <w:rPr>
          <w:color w:val="000000" w:themeColor="text1"/>
        </w:rPr>
      </w:pPr>
      <w:r w:rsidRPr="0094169A">
        <w:rPr>
          <w:b/>
          <w:i/>
          <w:color w:val="000000" w:themeColor="text1"/>
        </w:rPr>
        <w:t xml:space="preserve">État du stock. </w:t>
      </w:r>
      <w:r w:rsidRPr="0094169A">
        <w:rPr>
          <w:bCs/>
          <w:szCs w:val="24"/>
        </w:rPr>
        <w:t>L’état du stock basé sur une évaluation BSP-SS suggère que, en 2015, le stock est dans la zone orange du graphe de Kobe et que F et TB sont proches de leur valeur à la PME, avec F/F</w:t>
      </w:r>
      <w:r w:rsidRPr="0094169A">
        <w:rPr>
          <w:bCs/>
          <w:szCs w:val="24"/>
          <w:vertAlign w:val="subscript"/>
        </w:rPr>
        <w:t>PME</w:t>
      </w:r>
      <w:r w:rsidRPr="0094169A">
        <w:rPr>
          <w:bCs/>
          <w:szCs w:val="24"/>
        </w:rPr>
        <w:t>=1,18 et B/B</w:t>
      </w:r>
      <w:r w:rsidRPr="0094169A">
        <w:rPr>
          <w:bCs/>
          <w:szCs w:val="24"/>
          <w:vertAlign w:val="subscript"/>
        </w:rPr>
        <w:t>PME</w:t>
      </w:r>
      <w:r w:rsidRPr="0094169A">
        <w:rPr>
          <w:bCs/>
          <w:szCs w:val="24"/>
        </w:rPr>
        <w:t xml:space="preserve">=1,11. Deux autres approches suivies en 2016 (ASPIC et SS3) ont produit des conclusions similaires. Le graphe de Kobe (Figure 1) du modèle BSP-SS indique que le stock a été </w:t>
      </w:r>
      <w:r w:rsidRPr="0094169A">
        <w:rPr>
          <w:b/>
          <w:bCs/>
          <w:szCs w:val="24"/>
        </w:rPr>
        <w:t>sujet à la surpêche</w:t>
      </w:r>
      <w:r w:rsidRPr="0094169A">
        <w:rPr>
          <w:bCs/>
          <w:szCs w:val="24"/>
        </w:rPr>
        <w:t xml:space="preserve"> mais n’est </w:t>
      </w:r>
      <w:r w:rsidRPr="0094169A">
        <w:rPr>
          <w:b/>
          <w:bCs/>
          <w:szCs w:val="24"/>
        </w:rPr>
        <w:t>pas</w:t>
      </w:r>
      <w:r w:rsidRPr="0094169A">
        <w:rPr>
          <w:bCs/>
          <w:szCs w:val="24"/>
        </w:rPr>
        <w:t xml:space="preserve"> </w:t>
      </w:r>
      <w:r w:rsidRPr="0094169A">
        <w:rPr>
          <w:b/>
          <w:bCs/>
          <w:szCs w:val="24"/>
        </w:rPr>
        <w:t xml:space="preserve">surexploité </w:t>
      </w:r>
      <w:r w:rsidRPr="0094169A">
        <w:rPr>
          <w:bCs/>
          <w:szCs w:val="24"/>
        </w:rPr>
        <w:t>ces dernières années, tandis que la biomasse est légèrement au-dessus du niveau de B</w:t>
      </w:r>
      <w:r w:rsidRPr="0094169A">
        <w:rPr>
          <w:bCs/>
          <w:szCs w:val="24"/>
          <w:vertAlign w:val="subscript"/>
        </w:rPr>
        <w:t>PME</w:t>
      </w:r>
      <w:r w:rsidR="00044796">
        <w:rPr>
          <w:bCs/>
          <w:szCs w:val="24"/>
        </w:rPr>
        <w:t xml:space="preserve"> (Tableau 1, Figure 2</w:t>
      </w:r>
      <w:r w:rsidRPr="0094169A">
        <w:rPr>
          <w:bCs/>
          <w:szCs w:val="24"/>
        </w:rPr>
        <w:t>)</w:t>
      </w:r>
      <w:r w:rsidRPr="0094169A">
        <w:rPr>
          <w:color w:val="000000" w:themeColor="text1"/>
        </w:rPr>
        <w:t xml:space="preserve">. </w:t>
      </w:r>
    </w:p>
    <w:p w14:paraId="5E94FEA6" w14:textId="77777777" w:rsidR="00455596" w:rsidRPr="0094169A" w:rsidRDefault="00455596" w:rsidP="00455596">
      <w:pPr>
        <w:pStyle w:val="IOTCReportNormalNumbered"/>
        <w:numPr>
          <w:ilvl w:val="0"/>
          <w:numId w:val="0"/>
        </w:numPr>
        <w:rPr>
          <w:bCs/>
        </w:rPr>
      </w:pPr>
      <w:r w:rsidRPr="0094169A">
        <w:rPr>
          <w:b/>
          <w:i/>
        </w:rPr>
        <w:t xml:space="preserve">Perspectives. </w:t>
      </w:r>
      <w:r w:rsidRPr="0094169A">
        <w:t>L’incertitude dans les données disponibles pour les évaluations et les séries de PUE suggèrent que l’avis devrait être interprété avec prudence. La récente forte augmentation des captures pourrait faire basculer le stock dans la zone rouge du graphe de Kobe dans un futur proche, si les captures sont maintenues à ces niveaux élevés. Il existe une forte probabilité (70-80%) de dépasser les points de référence basés sur la PME</w:t>
      </w:r>
      <w:r w:rsidRPr="0094169A">
        <w:rPr>
          <w:bCs/>
        </w:rPr>
        <w:t xml:space="preserve"> dans les 10 prochaines années, si les niveaux de captures actuels sont maintenus. Si les niveaux de captures sont réduits de 20%, alors le risque est réduit à environ 50%, ou moins (Tableau 2).</w:t>
      </w:r>
    </w:p>
    <w:p w14:paraId="14FA1F51" w14:textId="2CC0411B" w:rsidR="00455596" w:rsidRPr="0094169A" w:rsidRDefault="00455596" w:rsidP="00455596">
      <w:pPr>
        <w:pStyle w:val="IOTCReportNormalNumbered"/>
        <w:numPr>
          <w:ilvl w:val="0"/>
          <w:numId w:val="0"/>
        </w:numPr>
      </w:pPr>
      <w:r w:rsidRPr="0094169A">
        <w:rPr>
          <w:b/>
          <w:bCs/>
          <w:i/>
        </w:rPr>
        <w:t xml:space="preserve">Avis de gestion. </w:t>
      </w:r>
      <w:r w:rsidRPr="0094169A">
        <w:rPr>
          <w:bCs/>
        </w:rPr>
        <w:t>Les captures actuelles de BUM</w:t>
      </w:r>
      <w:r w:rsidRPr="0094169A">
        <w:rPr>
          <w:bCs/>
          <w:i/>
        </w:rPr>
        <w:t xml:space="preserve"> </w:t>
      </w:r>
      <w:r w:rsidR="00044796">
        <w:rPr>
          <w:bCs/>
        </w:rPr>
        <w:t>(moyenne sur 2012-2016</w:t>
      </w:r>
      <w:r w:rsidRPr="0094169A">
        <w:rPr>
          <w:bCs/>
        </w:rPr>
        <w:t xml:space="preserve"> de </w:t>
      </w:r>
      <w:r w:rsidR="002F19D9">
        <w:rPr>
          <w:bCs/>
        </w:rPr>
        <w:t>15 85</w:t>
      </w:r>
      <w:r w:rsidR="00044796">
        <w:rPr>
          <w:bCs/>
        </w:rPr>
        <w:t>9</w:t>
      </w:r>
      <w:r w:rsidRPr="0094169A">
        <w:rPr>
          <w:bCs/>
        </w:rPr>
        <w:t> t</w:t>
      </w:r>
      <w:r w:rsidR="00CC115D">
        <w:rPr>
          <w:bCs/>
        </w:rPr>
        <w:t>, Figure 1</w:t>
      </w:r>
      <w:r w:rsidRPr="0094169A">
        <w:rPr>
          <w:bCs/>
        </w:rPr>
        <w:t xml:space="preserve">) sont </w:t>
      </w:r>
      <w:r w:rsidRPr="0094169A">
        <w:t>supérieures</w:t>
      </w:r>
      <w:r w:rsidRPr="0094169A">
        <w:rPr>
          <w:bCs/>
        </w:rPr>
        <w:t xml:space="preserve"> à la PME (11 296 t) et le stock est actuellement sujet à la surpêche (F</w:t>
      </w:r>
      <w:r w:rsidR="00CC115D">
        <w:rPr>
          <w:bCs/>
          <w:vertAlign w:val="subscript"/>
        </w:rPr>
        <w:t>2015</w:t>
      </w:r>
      <w:r w:rsidRPr="0094169A">
        <w:rPr>
          <w:bCs/>
        </w:rPr>
        <w:t>&gt;F</w:t>
      </w:r>
      <w:r w:rsidRPr="0094169A">
        <w:rPr>
          <w:bCs/>
          <w:vertAlign w:val="subscript"/>
        </w:rPr>
        <w:t>PME</w:t>
      </w:r>
      <w:r w:rsidRPr="0094169A">
        <w:rPr>
          <w:bCs/>
        </w:rPr>
        <w:t>). Afin de pouvoir atteindre l’objectif de la Commission que le stock soit dans la zone verte du graphe de Kobe d’ici 2025 (F</w:t>
      </w:r>
      <w:r w:rsidRPr="0094169A">
        <w:rPr>
          <w:bCs/>
          <w:vertAlign w:val="subscript"/>
        </w:rPr>
        <w:t>2025</w:t>
      </w:r>
      <w:r w:rsidRPr="0094169A">
        <w:rPr>
          <w:bCs/>
        </w:rPr>
        <w:t>&lt;F</w:t>
      </w:r>
      <w:r w:rsidRPr="0094169A">
        <w:rPr>
          <w:bCs/>
          <w:vertAlign w:val="subscript"/>
        </w:rPr>
        <w:t>PME</w:t>
      </w:r>
      <w:r w:rsidRPr="0094169A">
        <w:rPr>
          <w:bCs/>
        </w:rPr>
        <w:t xml:space="preserve"> et B</w:t>
      </w:r>
      <w:r w:rsidRPr="0094169A">
        <w:rPr>
          <w:bCs/>
          <w:vertAlign w:val="subscript"/>
        </w:rPr>
        <w:t>2025</w:t>
      </w:r>
      <w:r w:rsidRPr="0094169A">
        <w:rPr>
          <w:bCs/>
        </w:rPr>
        <w:t>&gt;B</w:t>
      </w:r>
      <w:r w:rsidRPr="0094169A">
        <w:rPr>
          <w:bCs/>
          <w:vertAlign w:val="subscript"/>
        </w:rPr>
        <w:t>PME</w:t>
      </w:r>
      <w:r w:rsidRPr="0094169A">
        <w:rPr>
          <w:bCs/>
        </w:rPr>
        <w:t xml:space="preserve">) avec au moins 50% de </w:t>
      </w:r>
      <w:r w:rsidR="00CC115D">
        <w:rPr>
          <w:bCs/>
        </w:rPr>
        <w:t>probabilité</w:t>
      </w:r>
      <w:r w:rsidRPr="0094169A">
        <w:rPr>
          <w:bCs/>
        </w:rPr>
        <w:t>, les captures de marlin bleu devraient être réduites à une valeur maximale de 11 643 t.</w:t>
      </w:r>
    </w:p>
    <w:p w14:paraId="5A902750" w14:textId="77777777" w:rsidR="00455596" w:rsidRPr="0094169A" w:rsidRDefault="00455596" w:rsidP="00455596">
      <w:pPr>
        <w:pStyle w:val="IOTCReportNormalNumbered"/>
        <w:keepNext/>
        <w:numPr>
          <w:ilvl w:val="0"/>
          <w:numId w:val="0"/>
        </w:numPr>
      </w:pPr>
      <w:r w:rsidRPr="0094169A">
        <w:t>Les principaux points suivants devraient être notés :</w:t>
      </w:r>
    </w:p>
    <w:p w14:paraId="67410D70" w14:textId="77777777" w:rsidR="00455596" w:rsidRPr="0094169A" w:rsidRDefault="00455596" w:rsidP="00455596">
      <w:pPr>
        <w:numPr>
          <w:ilvl w:val="0"/>
          <w:numId w:val="3"/>
        </w:numPr>
        <w:contextualSpacing/>
        <w:rPr>
          <w:color w:val="000000"/>
        </w:rPr>
      </w:pPr>
      <w:r w:rsidRPr="0094169A">
        <w:rPr>
          <w:b/>
          <w:color w:val="000000"/>
        </w:rPr>
        <w:t>Production maximale équilibrée :</w:t>
      </w:r>
      <w:r w:rsidRPr="0094169A">
        <w:rPr>
          <w:color w:val="000000"/>
        </w:rPr>
        <w:t xml:space="preserve"> </w:t>
      </w:r>
      <w:r w:rsidRPr="0094169A">
        <w:t>l’estimation</w:t>
      </w:r>
      <w:r w:rsidRPr="0094169A">
        <w:rPr>
          <w:color w:val="000000"/>
        </w:rPr>
        <w:t xml:space="preserve"> pour l’ensemble de l’océan Indien est de 11 926 t (fourchette de 9 232-16 149 t) .</w:t>
      </w:r>
    </w:p>
    <w:p w14:paraId="45AD78AC" w14:textId="77777777" w:rsidR="00455596" w:rsidRPr="0094169A" w:rsidRDefault="00455596" w:rsidP="00455596">
      <w:pPr>
        <w:numPr>
          <w:ilvl w:val="0"/>
          <w:numId w:val="3"/>
        </w:numPr>
        <w:contextualSpacing/>
      </w:pPr>
      <w:r w:rsidRPr="0094169A">
        <w:rPr>
          <w:b/>
        </w:rPr>
        <w:t>Points de référence provisoires :</w:t>
      </w:r>
      <w:r w:rsidRPr="0094169A">
        <w:t xml:space="preserve"> bien que la Commission ait approuvé en 2015 la Recommandation 15/10</w:t>
      </w:r>
      <w:r w:rsidRPr="0094169A">
        <w:rPr>
          <w:i/>
        </w:rPr>
        <w:t xml:space="preserve"> Sur des niveaux de référence-cibles et -limites et sur un cadre de décision</w:t>
      </w:r>
      <w:r w:rsidRPr="0094169A">
        <w:t xml:space="preserve">, de tels points de référence et règles d’exploitation n’ont pas été définis pour le marlin bleu. </w:t>
      </w:r>
    </w:p>
    <w:p w14:paraId="3795D795" w14:textId="731D6012" w:rsidR="00AC5C14" w:rsidRPr="0094169A" w:rsidRDefault="00AC5C14" w:rsidP="00AC5C14">
      <w:pPr>
        <w:pStyle w:val="Caption"/>
      </w:pPr>
      <w:r w:rsidRPr="0094169A">
        <w:rPr>
          <w:b/>
        </w:rPr>
        <w:lastRenderedPageBreak/>
        <w:t>Figure 1</w:t>
      </w:r>
      <w:r w:rsidRPr="0094169A">
        <w:t xml:space="preserve">. Marlin bleu : </w:t>
      </w:r>
      <w:r>
        <w:t xml:space="preserve">captures par engins et par années disponibles dans la </w:t>
      </w:r>
      <w:r w:rsidRPr="007F40B6">
        <w:t>base de données</w:t>
      </w:r>
      <w:r>
        <w:t xml:space="preserve"> de la CTOI (1950-2016). </w:t>
      </w:r>
      <w:r>
        <w:rPr>
          <w:i/>
        </w:rPr>
        <w:t>Note : les « autres » engins incluent la senne côtière, la senne danoise, la senne de plage et la senne tournante.</w:t>
      </w:r>
    </w:p>
    <w:p w14:paraId="0CD5D66B" w14:textId="6A21239E" w:rsidR="00AC5C14" w:rsidRDefault="00AC5C14" w:rsidP="00AC5C14">
      <w:pPr>
        <w:pStyle w:val="Caption"/>
        <w:jc w:val="center"/>
        <w:rPr>
          <w:b/>
        </w:rPr>
      </w:pPr>
      <w:r>
        <w:rPr>
          <w:rFonts w:eastAsia="SimSun"/>
          <w:noProof/>
          <w:color w:val="FF0000"/>
          <w:sz w:val="24"/>
          <w:lang w:val="en-GB" w:eastAsia="en-GB"/>
        </w:rPr>
        <w:drawing>
          <wp:inline distT="0" distB="0" distL="0" distR="0" wp14:anchorId="146053AC" wp14:editId="4E7696D8">
            <wp:extent cx="4093340" cy="2673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4196" cy="2673909"/>
                    </a:xfrm>
                    <a:prstGeom prst="rect">
                      <a:avLst/>
                    </a:prstGeom>
                    <a:noFill/>
                  </pic:spPr>
                </pic:pic>
              </a:graphicData>
            </a:graphic>
          </wp:inline>
        </w:drawing>
      </w:r>
    </w:p>
    <w:p w14:paraId="694C5C1C" w14:textId="1D8870F8" w:rsidR="00455596" w:rsidRPr="0094169A" w:rsidRDefault="00455596" w:rsidP="00455596">
      <w:pPr>
        <w:pStyle w:val="Caption"/>
      </w:pPr>
      <w:r w:rsidRPr="0094169A">
        <w:rPr>
          <w:b/>
        </w:rPr>
        <w:t xml:space="preserve">Figure </w:t>
      </w:r>
      <w:r w:rsidR="00AC5C14">
        <w:rPr>
          <w:b/>
        </w:rPr>
        <w:t>2</w:t>
      </w:r>
      <w:r w:rsidRPr="0094169A">
        <w:t>. Marlin bleu : graphe de Kobe de l’évaluation BSP-SS pour l’ensemble de l’océan Indien (surfaces de confiance à 90% des bootstraps représentées autour des estimations 2015). La ligne noire indique la trajectoire des estimations ponctuelles des ratios de biomasse (B) et de mortalité par pêche (F) pour chaque année entre 1950 et 2015.</w:t>
      </w:r>
    </w:p>
    <w:p w14:paraId="31769B74" w14:textId="77777777" w:rsidR="00455596" w:rsidRPr="0094169A" w:rsidRDefault="00455596" w:rsidP="00AC5C14">
      <w:pPr>
        <w:jc w:val="center"/>
      </w:pPr>
      <w:r w:rsidRPr="0094169A">
        <w:rPr>
          <w:rFonts w:eastAsia="MS Mincho"/>
          <w:noProof/>
          <w:color w:val="FF0000"/>
          <w:kern w:val="2"/>
          <w:lang w:val="en-GB" w:eastAsia="en-GB"/>
        </w:rPr>
        <w:drawing>
          <wp:inline distT="0" distB="0" distL="0" distR="0" wp14:anchorId="04C0ADEC" wp14:editId="6EDCE81C">
            <wp:extent cx="3600000" cy="3086460"/>
            <wp:effectExtent l="0" t="0" r="0" b="0"/>
            <wp:docPr id="1748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_sch_inf.png"/>
                    <pic:cNvPicPr/>
                  </pic:nvPicPr>
                  <pic:blipFill>
                    <a:blip r:embed="rId10"/>
                    <a:stretch>
                      <a:fillRect/>
                    </a:stretch>
                  </pic:blipFill>
                  <pic:spPr>
                    <a:xfrm>
                      <a:off x="0" y="0"/>
                      <a:ext cx="3600000" cy="3086460"/>
                    </a:xfrm>
                    <a:prstGeom prst="rect">
                      <a:avLst/>
                    </a:prstGeom>
                  </pic:spPr>
                </pic:pic>
              </a:graphicData>
            </a:graphic>
          </wp:inline>
        </w:drawing>
      </w:r>
      <w:r w:rsidRPr="0094169A">
        <w:rPr>
          <w:rFonts w:eastAsia="MS Mincho"/>
          <w:noProof/>
          <w:color w:val="FF0000"/>
          <w:kern w:val="2"/>
          <w:lang w:val="en-GB" w:eastAsia="en-GB"/>
        </w:rPr>
        <w:drawing>
          <wp:inline distT="0" distB="0" distL="0" distR="0" wp14:anchorId="2BC16EE9" wp14:editId="36C8BA7C">
            <wp:extent cx="2159233" cy="1683657"/>
            <wp:effectExtent l="0" t="0" r="0" b="0"/>
            <wp:docPr id="1748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rotWithShape="1">
                    <a:blip r:embed="rId11" cstate="print">
                      <a:extLst>
                        <a:ext uri="{28A0092B-C50C-407E-A947-70E740481C1C}">
                          <a14:useLocalDpi xmlns:a14="http://schemas.microsoft.com/office/drawing/2010/main" val="0"/>
                        </a:ext>
                      </a:extLst>
                    </a:blip>
                    <a:srcRect t="9745" b="12280"/>
                    <a:stretch/>
                  </pic:blipFill>
                  <pic:spPr bwMode="auto">
                    <a:xfrm>
                      <a:off x="0" y="0"/>
                      <a:ext cx="2160000" cy="168425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2E367F98" w14:textId="38F95353" w:rsidR="00455596" w:rsidRPr="0094169A" w:rsidRDefault="00455596" w:rsidP="00B317A1">
      <w:pPr>
        <w:pStyle w:val="Caption"/>
        <w:keepNext/>
        <w:rPr>
          <w:lang w:eastAsia="en-GB"/>
        </w:rPr>
      </w:pPr>
      <w:r w:rsidRPr="0094169A">
        <w:rPr>
          <w:b/>
        </w:rPr>
        <w:t>Tableau 2</w:t>
      </w:r>
      <w:r w:rsidRPr="0094169A">
        <w:t xml:space="preserve">. Marlin bleu : </w:t>
      </w:r>
      <w:r w:rsidRPr="0094169A">
        <w:rPr>
          <w:rFonts w:eastAsia="MS Mincho"/>
          <w:lang w:eastAsia="ja-JP"/>
        </w:rPr>
        <w:t>matrice de stratégie de Kobe II pour BSP-SS pour l’ensemble de l’océan Indien</w:t>
      </w:r>
      <w:r w:rsidRPr="0094169A">
        <w:t xml:space="preserve">. </w:t>
      </w:r>
      <w:r w:rsidRPr="0094169A">
        <w:rPr>
          <w:lang w:eastAsia="en-GB"/>
        </w:rPr>
        <w:t>Probabilité (</w:t>
      </w:r>
      <w:r w:rsidRPr="0094169A">
        <w:rPr>
          <w:kern w:val="24"/>
          <w:lang w:eastAsia="en-AU"/>
        </w:rPr>
        <w:t xml:space="preserve">pourcentage) </w:t>
      </w:r>
      <w:r w:rsidRPr="0094169A">
        <w:rPr>
          <w:lang w:eastAsia="en-GB"/>
        </w:rPr>
        <w:t xml:space="preserve">de violer les points de référence basés sur la PME pour 9 projections à captures constantes (niveaux de captures </w:t>
      </w:r>
      <w:r w:rsidR="00B317A1">
        <w:rPr>
          <w:lang w:eastAsia="en-GB"/>
        </w:rPr>
        <w:t xml:space="preserve">moyennes </w:t>
      </w:r>
      <w:r w:rsidRPr="0094169A">
        <w:rPr>
          <w:lang w:eastAsia="en-GB"/>
        </w:rPr>
        <w:t xml:space="preserve">de </w:t>
      </w:r>
      <w:r w:rsidR="00B317A1">
        <w:rPr>
          <w:lang w:eastAsia="en-GB"/>
        </w:rPr>
        <w:t>15 401 t</w:t>
      </w:r>
      <w:r w:rsidRPr="0094169A">
        <w:rPr>
          <w:lang w:eastAsia="en-GB"/>
        </w:rPr>
        <w:t xml:space="preserve">, ± 10%, ± 20%, ± 30% et ± 40%) sur 3 et 10 ans. </w:t>
      </w:r>
    </w:p>
    <w:tbl>
      <w:tblPr>
        <w:tblW w:w="10399" w:type="dxa"/>
        <w:jc w:val="center"/>
        <w:tblCellMar>
          <w:left w:w="0" w:type="dxa"/>
          <w:right w:w="0" w:type="dxa"/>
        </w:tblCellMar>
        <w:tblLook w:val="0600" w:firstRow="0" w:lastRow="0" w:firstColumn="0" w:lastColumn="0" w:noHBand="1" w:noVBand="1"/>
      </w:tblPr>
      <w:tblGrid>
        <w:gridCol w:w="2617"/>
        <w:gridCol w:w="862"/>
        <w:gridCol w:w="864"/>
        <w:gridCol w:w="864"/>
        <w:gridCol w:w="864"/>
        <w:gridCol w:w="864"/>
        <w:gridCol w:w="864"/>
        <w:gridCol w:w="864"/>
        <w:gridCol w:w="864"/>
        <w:gridCol w:w="866"/>
        <w:gridCol w:w="6"/>
      </w:tblGrid>
      <w:tr w:rsidR="00455596" w:rsidRPr="0094169A" w14:paraId="35636BC2" w14:textId="77777777" w:rsidTr="00561F0E">
        <w:trPr>
          <w:trHeight w:val="567"/>
          <w:jc w:val="center"/>
        </w:trPr>
        <w:tc>
          <w:tcPr>
            <w:tcW w:w="261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BC9A482" w14:textId="77777777" w:rsidR="00455596" w:rsidRPr="0094169A" w:rsidRDefault="00455596" w:rsidP="00561F0E">
            <w:pPr>
              <w:keepNext/>
              <w:jc w:val="center"/>
              <w:rPr>
                <w:b/>
                <w:color w:val="000000" w:themeColor="text1"/>
                <w:sz w:val="18"/>
                <w:szCs w:val="18"/>
                <w:lang w:eastAsia="en-AU"/>
              </w:rPr>
            </w:pPr>
            <w:r w:rsidRPr="0094169A">
              <w:rPr>
                <w:b/>
                <w:color w:val="000000" w:themeColor="text1"/>
                <w:sz w:val="18"/>
                <w:szCs w:val="18"/>
                <w:lang w:eastAsia="en-AU"/>
              </w:rPr>
              <w:t>Point de référence et durée de projection</w:t>
            </w:r>
          </w:p>
        </w:tc>
        <w:tc>
          <w:tcPr>
            <w:tcW w:w="7782" w:type="dxa"/>
            <w:gridSpan w:val="10"/>
            <w:tcBorders>
              <w:top w:val="single" w:sz="4" w:space="0" w:color="auto"/>
              <w:bottom w:val="single" w:sz="4" w:space="0" w:color="auto"/>
            </w:tcBorders>
            <w:vAlign w:val="center"/>
          </w:tcPr>
          <w:p w14:paraId="01B91B92" w14:textId="4ABBD405" w:rsidR="00455596" w:rsidRPr="0094169A" w:rsidRDefault="00455596" w:rsidP="0030036E">
            <w:pPr>
              <w:keepNext/>
              <w:jc w:val="center"/>
              <w:rPr>
                <w:b/>
                <w:color w:val="000000" w:themeColor="text1"/>
                <w:sz w:val="18"/>
                <w:szCs w:val="18"/>
                <w:lang w:eastAsia="en-AU"/>
              </w:rPr>
            </w:pPr>
            <w:r w:rsidRPr="0094169A">
              <w:rPr>
                <w:b/>
                <w:color w:val="000000" w:themeColor="text1"/>
                <w:sz w:val="18"/>
                <w:szCs w:val="18"/>
                <w:lang w:eastAsia="en-AU"/>
              </w:rPr>
              <w:t xml:space="preserve">Projections de capture alternatives (par rapport aux captures moyennes </w:t>
            </w:r>
            <w:r w:rsidR="0030036E">
              <w:rPr>
                <w:b/>
                <w:color w:val="000000" w:themeColor="text1"/>
                <w:sz w:val="18"/>
                <w:szCs w:val="18"/>
                <w:lang w:eastAsia="en-AU"/>
              </w:rPr>
              <w:t>de</w:t>
            </w:r>
            <w:r w:rsidRPr="0094169A">
              <w:rPr>
                <w:b/>
                <w:color w:val="000000" w:themeColor="text1"/>
                <w:sz w:val="18"/>
                <w:szCs w:val="18"/>
                <w:lang w:eastAsia="en-AU"/>
              </w:rPr>
              <w:t xml:space="preserve"> 15 401 t) et probabilité (%) de violer les points de référence-cibles de la PME</w:t>
            </w:r>
            <w:r w:rsidRPr="0094169A">
              <w:rPr>
                <w:b/>
                <w:color w:val="000000" w:themeColor="text1"/>
                <w:sz w:val="18"/>
                <w:szCs w:val="18"/>
                <w:lang w:eastAsia="en-AU"/>
              </w:rPr>
              <w:br/>
              <w:t>(B</w:t>
            </w:r>
            <w:r w:rsidRPr="0094169A">
              <w:rPr>
                <w:b/>
                <w:color w:val="000000" w:themeColor="text1"/>
                <w:sz w:val="18"/>
                <w:szCs w:val="18"/>
                <w:vertAlign w:val="subscript"/>
                <w:lang w:eastAsia="en-AU"/>
              </w:rPr>
              <w:t>cible</w:t>
            </w:r>
            <w:r w:rsidRPr="0094169A">
              <w:rPr>
                <w:b/>
                <w:color w:val="000000" w:themeColor="text1"/>
                <w:sz w:val="18"/>
                <w:szCs w:val="18"/>
                <w:lang w:eastAsia="en-AU"/>
              </w:rPr>
              <w:t xml:space="preserve"> = B</w:t>
            </w:r>
            <w:r w:rsidRPr="0094169A">
              <w:rPr>
                <w:b/>
                <w:color w:val="000000" w:themeColor="text1"/>
                <w:sz w:val="18"/>
                <w:szCs w:val="18"/>
                <w:vertAlign w:val="subscript"/>
                <w:lang w:eastAsia="en-AU"/>
              </w:rPr>
              <w:t>PME</w:t>
            </w:r>
            <w:r w:rsidRPr="0094169A">
              <w:rPr>
                <w:b/>
                <w:color w:val="000000" w:themeColor="text1"/>
                <w:sz w:val="18"/>
                <w:szCs w:val="18"/>
                <w:lang w:eastAsia="en-AU"/>
              </w:rPr>
              <w:t> ; F</w:t>
            </w:r>
            <w:r w:rsidRPr="0094169A">
              <w:rPr>
                <w:b/>
                <w:color w:val="000000" w:themeColor="text1"/>
                <w:sz w:val="18"/>
                <w:szCs w:val="18"/>
                <w:vertAlign w:val="subscript"/>
                <w:lang w:eastAsia="en-AU"/>
              </w:rPr>
              <w:t>cible</w:t>
            </w:r>
            <w:r w:rsidRPr="0094169A">
              <w:rPr>
                <w:b/>
                <w:color w:val="000000" w:themeColor="text1"/>
                <w:sz w:val="18"/>
                <w:szCs w:val="18"/>
                <w:lang w:eastAsia="en-AU"/>
              </w:rPr>
              <w:t xml:space="preserve"> = F</w:t>
            </w:r>
            <w:r w:rsidRPr="0094169A">
              <w:rPr>
                <w:b/>
                <w:color w:val="000000" w:themeColor="text1"/>
                <w:sz w:val="18"/>
                <w:szCs w:val="18"/>
                <w:vertAlign w:val="subscript"/>
                <w:lang w:eastAsia="en-AU"/>
              </w:rPr>
              <w:t>PME</w:t>
            </w:r>
            <w:r w:rsidRPr="0094169A">
              <w:rPr>
                <w:b/>
                <w:color w:val="000000" w:themeColor="text1"/>
                <w:sz w:val="18"/>
                <w:szCs w:val="18"/>
                <w:lang w:eastAsia="en-AU"/>
              </w:rPr>
              <w:t>)</w:t>
            </w:r>
          </w:p>
        </w:tc>
      </w:tr>
      <w:tr w:rsidR="00455596" w:rsidRPr="0094169A" w14:paraId="1FD71705" w14:textId="77777777" w:rsidTr="00561F0E">
        <w:trPr>
          <w:gridAfter w:val="1"/>
          <w:wAfter w:w="6" w:type="dxa"/>
          <w:trHeight w:val="283"/>
          <w:jc w:val="center"/>
        </w:trPr>
        <w:tc>
          <w:tcPr>
            <w:tcW w:w="2617" w:type="dxa"/>
            <w:tcBorders>
              <w:top w:val="single" w:sz="4" w:space="0" w:color="auto"/>
            </w:tcBorders>
            <w:shd w:val="clear" w:color="auto" w:fill="auto"/>
            <w:tcMar>
              <w:top w:w="15" w:type="dxa"/>
              <w:left w:w="108" w:type="dxa"/>
              <w:bottom w:w="0" w:type="dxa"/>
              <w:right w:w="108" w:type="dxa"/>
            </w:tcMar>
            <w:vAlign w:val="center"/>
          </w:tcPr>
          <w:p w14:paraId="4229C267" w14:textId="77777777" w:rsidR="00455596" w:rsidRPr="0094169A" w:rsidRDefault="00455596" w:rsidP="00561F0E">
            <w:pPr>
              <w:keepNext/>
              <w:jc w:val="center"/>
              <w:rPr>
                <w:color w:val="000000" w:themeColor="text1"/>
                <w:sz w:val="18"/>
                <w:szCs w:val="18"/>
                <w:lang w:eastAsia="en-AU"/>
              </w:rPr>
            </w:pPr>
          </w:p>
        </w:tc>
        <w:tc>
          <w:tcPr>
            <w:tcW w:w="86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713BA7D" w14:textId="77777777" w:rsidR="00455596" w:rsidRPr="0094169A" w:rsidRDefault="00455596" w:rsidP="00561F0E">
            <w:pPr>
              <w:keepNext/>
              <w:jc w:val="center"/>
              <w:rPr>
                <w:color w:val="000000" w:themeColor="text1"/>
                <w:sz w:val="18"/>
                <w:szCs w:val="18"/>
                <w:lang w:eastAsia="en-AU"/>
              </w:rPr>
            </w:pPr>
            <w:r w:rsidRPr="0094169A">
              <w:rPr>
                <w:b/>
                <w:bCs/>
                <w:color w:val="000000" w:themeColor="text1"/>
                <w:kern w:val="24"/>
                <w:sz w:val="18"/>
                <w:szCs w:val="18"/>
                <w:lang w:eastAsia="en-AU"/>
              </w:rPr>
              <w:t>60%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2AE63BC8" w14:textId="77777777" w:rsidR="00455596" w:rsidRPr="0094169A" w:rsidRDefault="00455596" w:rsidP="00561F0E">
            <w:pPr>
              <w:keepNext/>
              <w:jc w:val="center"/>
              <w:rPr>
                <w:color w:val="000000" w:themeColor="text1"/>
                <w:sz w:val="18"/>
                <w:szCs w:val="18"/>
                <w:lang w:eastAsia="en-AU"/>
              </w:rPr>
            </w:pPr>
            <w:r w:rsidRPr="0094169A">
              <w:rPr>
                <w:b/>
                <w:bCs/>
                <w:color w:val="000000" w:themeColor="text1"/>
                <w:kern w:val="24"/>
                <w:sz w:val="18"/>
                <w:szCs w:val="18"/>
                <w:lang w:eastAsia="en-AU"/>
              </w:rPr>
              <w:t>70%</w:t>
            </w:r>
          </w:p>
        </w:tc>
        <w:tc>
          <w:tcPr>
            <w:tcW w:w="864" w:type="dxa"/>
            <w:tcBorders>
              <w:top w:val="single" w:sz="4" w:space="0" w:color="auto"/>
              <w:bottom w:val="single" w:sz="4" w:space="0" w:color="auto"/>
            </w:tcBorders>
            <w:vAlign w:val="center"/>
          </w:tcPr>
          <w:p w14:paraId="5D90307C" w14:textId="77777777" w:rsidR="00455596" w:rsidRPr="0094169A" w:rsidRDefault="00455596" w:rsidP="00561F0E">
            <w:pPr>
              <w:keepNext/>
              <w:jc w:val="center"/>
              <w:rPr>
                <w:b/>
                <w:bCs/>
                <w:color w:val="000000" w:themeColor="text1"/>
                <w:kern w:val="24"/>
                <w:sz w:val="18"/>
                <w:szCs w:val="18"/>
                <w:lang w:eastAsia="en-AU"/>
              </w:rPr>
            </w:pPr>
            <w:r w:rsidRPr="0094169A">
              <w:rPr>
                <w:b/>
                <w:bCs/>
                <w:color w:val="000000" w:themeColor="text1"/>
                <w:kern w:val="24"/>
                <w:sz w:val="18"/>
                <w:szCs w:val="18"/>
                <w:lang w:eastAsia="en-AU"/>
              </w:rPr>
              <w:t>80%</w:t>
            </w:r>
          </w:p>
        </w:tc>
        <w:tc>
          <w:tcPr>
            <w:tcW w:w="864" w:type="dxa"/>
            <w:tcBorders>
              <w:top w:val="single" w:sz="4" w:space="0" w:color="auto"/>
              <w:bottom w:val="single" w:sz="4" w:space="0" w:color="auto"/>
            </w:tcBorders>
            <w:vAlign w:val="center"/>
          </w:tcPr>
          <w:p w14:paraId="7FA0F429" w14:textId="77777777" w:rsidR="00455596" w:rsidRPr="0094169A" w:rsidRDefault="00455596" w:rsidP="00561F0E">
            <w:pPr>
              <w:keepNext/>
              <w:jc w:val="center"/>
              <w:rPr>
                <w:b/>
                <w:bCs/>
                <w:color w:val="000000" w:themeColor="text1"/>
                <w:kern w:val="24"/>
                <w:sz w:val="18"/>
                <w:szCs w:val="18"/>
                <w:lang w:eastAsia="en-AU"/>
              </w:rPr>
            </w:pPr>
            <w:r w:rsidRPr="0094169A">
              <w:rPr>
                <w:b/>
                <w:bCs/>
                <w:color w:val="000000" w:themeColor="text1"/>
                <w:kern w:val="24"/>
                <w:sz w:val="18"/>
                <w:szCs w:val="18"/>
                <w:lang w:eastAsia="en-AU"/>
              </w:rPr>
              <w:t>90%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CC3D768" w14:textId="77777777" w:rsidR="00455596" w:rsidRPr="0094169A" w:rsidRDefault="00455596" w:rsidP="00561F0E">
            <w:pPr>
              <w:keepNext/>
              <w:jc w:val="center"/>
              <w:rPr>
                <w:color w:val="000000" w:themeColor="text1"/>
                <w:sz w:val="18"/>
                <w:szCs w:val="18"/>
                <w:lang w:eastAsia="en-AU"/>
              </w:rPr>
            </w:pPr>
            <w:r w:rsidRPr="0094169A">
              <w:rPr>
                <w:b/>
                <w:bCs/>
                <w:color w:val="000000" w:themeColor="text1"/>
                <w:kern w:val="24"/>
                <w:sz w:val="18"/>
                <w:szCs w:val="18"/>
                <w:lang w:eastAsia="en-AU"/>
              </w:rPr>
              <w:t>100%</w:t>
            </w:r>
          </w:p>
        </w:tc>
        <w:tc>
          <w:tcPr>
            <w:tcW w:w="864" w:type="dxa"/>
            <w:tcBorders>
              <w:top w:val="single" w:sz="4" w:space="0" w:color="auto"/>
              <w:bottom w:val="single" w:sz="4" w:space="0" w:color="auto"/>
            </w:tcBorders>
            <w:vAlign w:val="center"/>
          </w:tcPr>
          <w:p w14:paraId="602B9D33" w14:textId="77777777" w:rsidR="00455596" w:rsidRPr="0094169A" w:rsidRDefault="00455596" w:rsidP="00561F0E">
            <w:pPr>
              <w:keepNext/>
              <w:jc w:val="center"/>
              <w:rPr>
                <w:b/>
                <w:bCs/>
                <w:color w:val="000000" w:themeColor="text1"/>
                <w:kern w:val="24"/>
                <w:sz w:val="18"/>
                <w:szCs w:val="18"/>
                <w:lang w:eastAsia="en-AU"/>
              </w:rPr>
            </w:pPr>
            <w:r w:rsidRPr="0094169A">
              <w:rPr>
                <w:b/>
                <w:bCs/>
                <w:color w:val="000000" w:themeColor="text1"/>
                <w:kern w:val="24"/>
                <w:sz w:val="18"/>
                <w:szCs w:val="18"/>
                <w:lang w:eastAsia="en-AU"/>
              </w:rPr>
              <w:t>110%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043AA75D" w14:textId="77777777" w:rsidR="00455596" w:rsidRPr="0094169A" w:rsidRDefault="00455596" w:rsidP="00561F0E">
            <w:pPr>
              <w:keepNext/>
              <w:jc w:val="center"/>
              <w:rPr>
                <w:color w:val="000000" w:themeColor="text1"/>
                <w:sz w:val="18"/>
                <w:szCs w:val="18"/>
                <w:lang w:eastAsia="en-AU"/>
              </w:rPr>
            </w:pPr>
            <w:r w:rsidRPr="0094169A">
              <w:rPr>
                <w:b/>
                <w:bCs/>
                <w:color w:val="000000" w:themeColor="text1"/>
                <w:kern w:val="24"/>
                <w:sz w:val="18"/>
                <w:szCs w:val="18"/>
                <w:lang w:eastAsia="en-AU"/>
              </w:rPr>
              <w:t>120%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9335B99" w14:textId="77777777" w:rsidR="00455596" w:rsidRPr="0094169A" w:rsidRDefault="00455596" w:rsidP="00561F0E">
            <w:pPr>
              <w:keepNext/>
              <w:jc w:val="center"/>
              <w:rPr>
                <w:color w:val="000000" w:themeColor="text1"/>
                <w:sz w:val="18"/>
                <w:szCs w:val="18"/>
                <w:lang w:eastAsia="en-AU"/>
              </w:rPr>
            </w:pPr>
            <w:r w:rsidRPr="0094169A">
              <w:rPr>
                <w:b/>
                <w:bCs/>
                <w:color w:val="000000" w:themeColor="text1"/>
                <w:kern w:val="24"/>
                <w:sz w:val="18"/>
                <w:szCs w:val="18"/>
                <w:lang w:eastAsia="en-AU"/>
              </w:rPr>
              <w:t>130%</w:t>
            </w:r>
          </w:p>
        </w:tc>
        <w:tc>
          <w:tcPr>
            <w:tcW w:w="866" w:type="dxa"/>
            <w:tcBorders>
              <w:top w:val="single" w:sz="4" w:space="0" w:color="auto"/>
              <w:bottom w:val="single" w:sz="4" w:space="0" w:color="auto"/>
            </w:tcBorders>
            <w:vAlign w:val="center"/>
          </w:tcPr>
          <w:p w14:paraId="224DDAFE" w14:textId="77777777" w:rsidR="00455596" w:rsidRPr="0094169A" w:rsidRDefault="00455596" w:rsidP="00561F0E">
            <w:pPr>
              <w:keepNext/>
              <w:jc w:val="center"/>
              <w:rPr>
                <w:b/>
                <w:bCs/>
                <w:color w:val="000000" w:themeColor="text1"/>
                <w:kern w:val="24"/>
                <w:sz w:val="18"/>
                <w:szCs w:val="18"/>
                <w:lang w:eastAsia="en-AU"/>
              </w:rPr>
            </w:pPr>
            <w:r w:rsidRPr="0094169A">
              <w:rPr>
                <w:b/>
                <w:bCs/>
                <w:color w:val="000000" w:themeColor="text1"/>
                <w:kern w:val="24"/>
                <w:sz w:val="18"/>
                <w:szCs w:val="18"/>
                <w:lang w:eastAsia="en-AU"/>
              </w:rPr>
              <w:t>140%</w:t>
            </w:r>
          </w:p>
        </w:tc>
      </w:tr>
      <w:tr w:rsidR="00455596" w:rsidRPr="0094169A" w14:paraId="0E35A0F9" w14:textId="77777777" w:rsidTr="00561F0E">
        <w:trPr>
          <w:gridAfter w:val="1"/>
          <w:wAfter w:w="6" w:type="dxa"/>
          <w:trHeight w:val="283"/>
          <w:jc w:val="center"/>
        </w:trPr>
        <w:tc>
          <w:tcPr>
            <w:tcW w:w="2617" w:type="dxa"/>
            <w:tcBorders>
              <w:top w:val="single" w:sz="4" w:space="0" w:color="auto"/>
            </w:tcBorders>
            <w:shd w:val="clear" w:color="auto" w:fill="auto"/>
            <w:tcMar>
              <w:top w:w="15" w:type="dxa"/>
              <w:left w:w="108" w:type="dxa"/>
              <w:bottom w:w="0" w:type="dxa"/>
              <w:right w:w="108" w:type="dxa"/>
            </w:tcMar>
            <w:vAlign w:val="center"/>
          </w:tcPr>
          <w:p w14:paraId="199ADF01" w14:textId="77777777" w:rsidR="00455596" w:rsidRPr="0094169A" w:rsidRDefault="00455596" w:rsidP="00561F0E">
            <w:pPr>
              <w:keepNext/>
              <w:jc w:val="center"/>
              <w:rPr>
                <w:color w:val="000000" w:themeColor="text1"/>
                <w:sz w:val="18"/>
                <w:szCs w:val="18"/>
                <w:lang w:eastAsia="en-AU"/>
              </w:rPr>
            </w:pPr>
          </w:p>
        </w:tc>
        <w:tc>
          <w:tcPr>
            <w:tcW w:w="86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6569E814" w14:textId="77777777" w:rsidR="00455596" w:rsidRPr="0094169A" w:rsidRDefault="00455596" w:rsidP="00561F0E">
            <w:pPr>
              <w:jc w:val="center"/>
              <w:rPr>
                <w:b/>
                <w:bCs/>
                <w:color w:val="000000" w:themeColor="text1"/>
                <w:kern w:val="24"/>
                <w:sz w:val="18"/>
                <w:szCs w:val="18"/>
                <w:lang w:eastAsia="en-AU"/>
              </w:rPr>
            </w:pPr>
            <w:r w:rsidRPr="0094169A">
              <w:rPr>
                <w:color w:val="000000" w:themeColor="text1"/>
                <w:kern w:val="24"/>
                <w:sz w:val="18"/>
                <w:szCs w:val="18"/>
                <w:lang w:eastAsia="en-AU"/>
              </w:rPr>
              <w:t>9 240 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2AF92261" w14:textId="77777777" w:rsidR="00455596" w:rsidRPr="0094169A" w:rsidRDefault="00455596" w:rsidP="00561F0E">
            <w:pPr>
              <w:jc w:val="center"/>
              <w:rPr>
                <w:b/>
                <w:bCs/>
                <w:color w:val="000000" w:themeColor="text1"/>
                <w:kern w:val="24"/>
                <w:sz w:val="18"/>
                <w:szCs w:val="18"/>
                <w:lang w:eastAsia="en-AU"/>
              </w:rPr>
            </w:pPr>
            <w:r w:rsidRPr="0094169A">
              <w:rPr>
                <w:color w:val="000000" w:themeColor="text1"/>
                <w:kern w:val="24"/>
                <w:sz w:val="18"/>
                <w:szCs w:val="18"/>
                <w:lang w:eastAsia="en-AU"/>
              </w:rPr>
              <w:t>10 780 t</w:t>
            </w:r>
          </w:p>
        </w:tc>
        <w:tc>
          <w:tcPr>
            <w:tcW w:w="864" w:type="dxa"/>
            <w:tcBorders>
              <w:top w:val="single" w:sz="4" w:space="0" w:color="auto"/>
              <w:bottom w:val="single" w:sz="4" w:space="0" w:color="auto"/>
            </w:tcBorders>
            <w:vAlign w:val="center"/>
          </w:tcPr>
          <w:p w14:paraId="32A8B848" w14:textId="77777777" w:rsidR="00455596" w:rsidRPr="0094169A" w:rsidRDefault="00455596" w:rsidP="00561F0E">
            <w:pPr>
              <w:jc w:val="center"/>
              <w:rPr>
                <w:b/>
                <w:bCs/>
                <w:color w:val="000000" w:themeColor="text1"/>
                <w:kern w:val="24"/>
                <w:sz w:val="18"/>
                <w:szCs w:val="18"/>
                <w:lang w:eastAsia="en-AU"/>
              </w:rPr>
            </w:pPr>
            <w:r w:rsidRPr="0094169A">
              <w:rPr>
                <w:color w:val="000000" w:themeColor="text1"/>
                <w:kern w:val="24"/>
                <w:sz w:val="18"/>
                <w:szCs w:val="18"/>
                <w:lang w:eastAsia="en-AU"/>
              </w:rPr>
              <w:t>12 321 t</w:t>
            </w:r>
          </w:p>
        </w:tc>
        <w:tc>
          <w:tcPr>
            <w:tcW w:w="864" w:type="dxa"/>
            <w:tcBorders>
              <w:top w:val="single" w:sz="4" w:space="0" w:color="auto"/>
              <w:bottom w:val="single" w:sz="4" w:space="0" w:color="auto"/>
            </w:tcBorders>
            <w:vAlign w:val="center"/>
          </w:tcPr>
          <w:p w14:paraId="0DB28238" w14:textId="77777777" w:rsidR="00455596" w:rsidRPr="0094169A" w:rsidRDefault="00455596" w:rsidP="00561F0E">
            <w:pPr>
              <w:jc w:val="center"/>
              <w:rPr>
                <w:b/>
                <w:bCs/>
                <w:color w:val="000000" w:themeColor="text1"/>
                <w:kern w:val="24"/>
                <w:sz w:val="18"/>
                <w:szCs w:val="18"/>
                <w:lang w:eastAsia="en-AU"/>
              </w:rPr>
            </w:pPr>
            <w:r w:rsidRPr="0094169A">
              <w:rPr>
                <w:color w:val="000000" w:themeColor="text1"/>
                <w:kern w:val="24"/>
                <w:sz w:val="18"/>
                <w:szCs w:val="18"/>
                <w:lang w:eastAsia="en-AU"/>
              </w:rPr>
              <w:t>13 861 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143A4C94" w14:textId="77777777" w:rsidR="00455596" w:rsidRPr="0094169A" w:rsidRDefault="00455596" w:rsidP="00561F0E">
            <w:pPr>
              <w:jc w:val="center"/>
              <w:rPr>
                <w:b/>
                <w:bCs/>
                <w:color w:val="000000" w:themeColor="text1"/>
                <w:kern w:val="24"/>
                <w:sz w:val="18"/>
                <w:szCs w:val="18"/>
                <w:lang w:eastAsia="en-AU"/>
              </w:rPr>
            </w:pPr>
            <w:r w:rsidRPr="0094169A">
              <w:rPr>
                <w:color w:val="000000" w:themeColor="text1"/>
                <w:kern w:val="24"/>
                <w:sz w:val="18"/>
                <w:szCs w:val="18"/>
                <w:lang w:eastAsia="en-AU"/>
              </w:rPr>
              <w:t>15 401 t</w:t>
            </w:r>
          </w:p>
        </w:tc>
        <w:tc>
          <w:tcPr>
            <w:tcW w:w="864" w:type="dxa"/>
            <w:tcBorders>
              <w:top w:val="single" w:sz="4" w:space="0" w:color="auto"/>
              <w:bottom w:val="single" w:sz="4" w:space="0" w:color="auto"/>
            </w:tcBorders>
            <w:vAlign w:val="center"/>
          </w:tcPr>
          <w:p w14:paraId="1B988004" w14:textId="77777777" w:rsidR="00455596" w:rsidRPr="0094169A" w:rsidRDefault="00455596" w:rsidP="00561F0E">
            <w:pPr>
              <w:jc w:val="center"/>
              <w:rPr>
                <w:b/>
                <w:bCs/>
                <w:color w:val="000000" w:themeColor="text1"/>
                <w:kern w:val="24"/>
                <w:sz w:val="18"/>
                <w:szCs w:val="18"/>
                <w:lang w:eastAsia="en-AU"/>
              </w:rPr>
            </w:pPr>
            <w:r w:rsidRPr="0094169A">
              <w:rPr>
                <w:color w:val="000000" w:themeColor="text1"/>
                <w:kern w:val="24"/>
                <w:sz w:val="18"/>
                <w:szCs w:val="18"/>
                <w:lang w:eastAsia="en-AU"/>
              </w:rPr>
              <w:t>16 941 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473E069" w14:textId="77777777" w:rsidR="00455596" w:rsidRPr="0094169A" w:rsidRDefault="00455596" w:rsidP="00561F0E">
            <w:pPr>
              <w:jc w:val="center"/>
              <w:rPr>
                <w:b/>
                <w:bCs/>
                <w:color w:val="000000" w:themeColor="text1"/>
                <w:kern w:val="24"/>
                <w:sz w:val="18"/>
                <w:szCs w:val="18"/>
                <w:lang w:eastAsia="en-AU"/>
              </w:rPr>
            </w:pPr>
            <w:r w:rsidRPr="0094169A">
              <w:rPr>
                <w:color w:val="000000" w:themeColor="text1"/>
                <w:kern w:val="24"/>
                <w:sz w:val="18"/>
                <w:szCs w:val="18"/>
                <w:lang w:eastAsia="en-AU"/>
              </w:rPr>
              <w:t>18 481 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2C74F682" w14:textId="77777777" w:rsidR="00455596" w:rsidRPr="0094169A" w:rsidRDefault="00455596" w:rsidP="00561F0E">
            <w:pPr>
              <w:jc w:val="center"/>
              <w:rPr>
                <w:b/>
                <w:bCs/>
                <w:color w:val="000000" w:themeColor="text1"/>
                <w:kern w:val="24"/>
                <w:sz w:val="18"/>
                <w:szCs w:val="18"/>
                <w:lang w:eastAsia="en-AU"/>
              </w:rPr>
            </w:pPr>
            <w:r w:rsidRPr="0094169A">
              <w:rPr>
                <w:color w:val="000000" w:themeColor="text1"/>
                <w:kern w:val="24"/>
                <w:sz w:val="18"/>
                <w:szCs w:val="18"/>
                <w:lang w:eastAsia="en-AU"/>
              </w:rPr>
              <w:t>20 021 t</w:t>
            </w:r>
          </w:p>
        </w:tc>
        <w:tc>
          <w:tcPr>
            <w:tcW w:w="866" w:type="dxa"/>
            <w:tcBorders>
              <w:top w:val="single" w:sz="4" w:space="0" w:color="auto"/>
              <w:bottom w:val="single" w:sz="4" w:space="0" w:color="auto"/>
            </w:tcBorders>
            <w:vAlign w:val="center"/>
          </w:tcPr>
          <w:p w14:paraId="1E21B551" w14:textId="77777777" w:rsidR="00455596" w:rsidRPr="0094169A" w:rsidRDefault="00455596" w:rsidP="00561F0E">
            <w:pPr>
              <w:jc w:val="center"/>
              <w:rPr>
                <w:b/>
                <w:bCs/>
                <w:color w:val="000000" w:themeColor="text1"/>
                <w:kern w:val="24"/>
                <w:sz w:val="18"/>
                <w:szCs w:val="18"/>
                <w:lang w:eastAsia="en-AU"/>
              </w:rPr>
            </w:pPr>
            <w:r w:rsidRPr="0094169A">
              <w:rPr>
                <w:color w:val="000000" w:themeColor="text1"/>
                <w:kern w:val="24"/>
                <w:sz w:val="18"/>
                <w:szCs w:val="18"/>
                <w:lang w:eastAsia="en-AU"/>
              </w:rPr>
              <w:t>21 561 t</w:t>
            </w:r>
          </w:p>
        </w:tc>
      </w:tr>
      <w:tr w:rsidR="00455596" w:rsidRPr="0094169A" w14:paraId="2527AEA6" w14:textId="77777777" w:rsidTr="00561F0E">
        <w:trPr>
          <w:gridAfter w:val="1"/>
          <w:wAfter w:w="6" w:type="dxa"/>
          <w:trHeight w:val="283"/>
          <w:jc w:val="center"/>
        </w:trPr>
        <w:tc>
          <w:tcPr>
            <w:tcW w:w="2617" w:type="dxa"/>
            <w:shd w:val="clear" w:color="auto" w:fill="auto"/>
            <w:tcMar>
              <w:top w:w="15" w:type="dxa"/>
              <w:left w:w="108" w:type="dxa"/>
              <w:bottom w:w="0" w:type="dxa"/>
              <w:right w:w="108" w:type="dxa"/>
            </w:tcMar>
            <w:vAlign w:val="center"/>
          </w:tcPr>
          <w:p w14:paraId="3A6D1AF1" w14:textId="77777777" w:rsidR="00455596" w:rsidRPr="0094169A" w:rsidRDefault="00455596" w:rsidP="00561F0E">
            <w:pPr>
              <w:keepNext/>
              <w:jc w:val="center"/>
              <w:rPr>
                <w:color w:val="000000" w:themeColor="text1"/>
                <w:sz w:val="18"/>
                <w:szCs w:val="18"/>
                <w:lang w:eastAsia="en-AU"/>
              </w:rPr>
            </w:pPr>
            <w:r w:rsidRPr="0094169A">
              <w:rPr>
                <w:rFonts w:eastAsia="PMingLiU"/>
                <w:bCs/>
                <w:color w:val="000000" w:themeColor="text1"/>
                <w:sz w:val="18"/>
                <w:szCs w:val="18"/>
              </w:rPr>
              <w:t>B</w:t>
            </w:r>
            <w:r w:rsidRPr="0094169A">
              <w:rPr>
                <w:rFonts w:eastAsia="PMingLiU"/>
                <w:bCs/>
                <w:color w:val="000000" w:themeColor="text1"/>
                <w:sz w:val="18"/>
                <w:szCs w:val="18"/>
                <w:vertAlign w:val="subscript"/>
              </w:rPr>
              <w:t>2018</w:t>
            </w:r>
            <w:r w:rsidRPr="0094169A">
              <w:rPr>
                <w:color w:val="000000" w:themeColor="text1"/>
                <w:kern w:val="24"/>
                <w:sz w:val="18"/>
                <w:szCs w:val="18"/>
                <w:lang w:eastAsia="en-AU"/>
              </w:rPr>
              <w:t>&lt;</w:t>
            </w:r>
            <w:r w:rsidRPr="0094169A">
              <w:rPr>
                <w:rFonts w:eastAsia="PMingLiU"/>
                <w:bCs/>
                <w:color w:val="000000" w:themeColor="text1"/>
                <w:sz w:val="18"/>
                <w:szCs w:val="18"/>
              </w:rPr>
              <w:t>B</w:t>
            </w:r>
            <w:r w:rsidRPr="0094169A">
              <w:rPr>
                <w:rFonts w:eastAsia="PMingLiU"/>
                <w:bCs/>
                <w:color w:val="000000" w:themeColor="text1"/>
                <w:sz w:val="18"/>
                <w:szCs w:val="18"/>
                <w:vertAlign w:val="subscript"/>
              </w:rPr>
              <w:t>PME</w:t>
            </w:r>
          </w:p>
        </w:tc>
        <w:tc>
          <w:tcPr>
            <w:tcW w:w="862" w:type="dxa"/>
            <w:tcBorders>
              <w:top w:val="single" w:sz="4" w:space="0" w:color="auto"/>
            </w:tcBorders>
            <w:shd w:val="clear" w:color="auto" w:fill="auto"/>
            <w:tcMar>
              <w:top w:w="15" w:type="dxa"/>
              <w:left w:w="15" w:type="dxa"/>
              <w:bottom w:w="0" w:type="dxa"/>
              <w:right w:w="15" w:type="dxa"/>
            </w:tcMar>
            <w:vAlign w:val="bottom"/>
          </w:tcPr>
          <w:p w14:paraId="06AF6905" w14:textId="77777777" w:rsidR="00455596" w:rsidRPr="0094169A" w:rsidRDefault="00455596" w:rsidP="00561F0E">
            <w:pPr>
              <w:keepNext/>
              <w:jc w:val="center"/>
              <w:textAlignment w:val="bottom"/>
              <w:rPr>
                <w:color w:val="000000"/>
                <w:sz w:val="18"/>
                <w:szCs w:val="18"/>
              </w:rPr>
            </w:pPr>
            <w:r w:rsidRPr="0094169A">
              <w:rPr>
                <w:color w:val="000000"/>
                <w:sz w:val="18"/>
                <w:szCs w:val="18"/>
              </w:rPr>
              <w:t>26</w:t>
            </w:r>
          </w:p>
        </w:tc>
        <w:tc>
          <w:tcPr>
            <w:tcW w:w="864" w:type="dxa"/>
            <w:tcBorders>
              <w:top w:val="single" w:sz="4" w:space="0" w:color="auto"/>
            </w:tcBorders>
            <w:shd w:val="clear" w:color="auto" w:fill="auto"/>
            <w:tcMar>
              <w:top w:w="15" w:type="dxa"/>
              <w:left w:w="15" w:type="dxa"/>
              <w:bottom w:w="0" w:type="dxa"/>
              <w:right w:w="15" w:type="dxa"/>
            </w:tcMar>
            <w:vAlign w:val="bottom"/>
          </w:tcPr>
          <w:p w14:paraId="125C93A6" w14:textId="77777777" w:rsidR="00455596" w:rsidRPr="0094169A" w:rsidRDefault="00455596" w:rsidP="00561F0E">
            <w:pPr>
              <w:keepNext/>
              <w:jc w:val="center"/>
              <w:textAlignment w:val="bottom"/>
              <w:rPr>
                <w:color w:val="000000"/>
                <w:sz w:val="18"/>
                <w:szCs w:val="18"/>
              </w:rPr>
            </w:pPr>
            <w:r w:rsidRPr="0094169A">
              <w:rPr>
                <w:color w:val="000000"/>
                <w:sz w:val="18"/>
                <w:szCs w:val="18"/>
              </w:rPr>
              <w:t>31</w:t>
            </w:r>
          </w:p>
        </w:tc>
        <w:tc>
          <w:tcPr>
            <w:tcW w:w="864" w:type="dxa"/>
            <w:tcBorders>
              <w:top w:val="single" w:sz="4" w:space="0" w:color="auto"/>
            </w:tcBorders>
            <w:shd w:val="clear" w:color="auto" w:fill="auto"/>
            <w:vAlign w:val="bottom"/>
          </w:tcPr>
          <w:p w14:paraId="04990EF1" w14:textId="77777777" w:rsidR="00455596" w:rsidRPr="0094169A" w:rsidRDefault="00455596" w:rsidP="00561F0E">
            <w:pPr>
              <w:keepNext/>
              <w:jc w:val="center"/>
              <w:textAlignment w:val="bottom"/>
              <w:rPr>
                <w:color w:val="000000"/>
                <w:sz w:val="18"/>
                <w:szCs w:val="18"/>
              </w:rPr>
            </w:pPr>
            <w:r w:rsidRPr="0094169A">
              <w:rPr>
                <w:color w:val="000000"/>
                <w:sz w:val="18"/>
                <w:szCs w:val="18"/>
              </w:rPr>
              <w:t>37</w:t>
            </w:r>
          </w:p>
        </w:tc>
        <w:tc>
          <w:tcPr>
            <w:tcW w:w="864" w:type="dxa"/>
            <w:tcBorders>
              <w:top w:val="single" w:sz="4" w:space="0" w:color="auto"/>
            </w:tcBorders>
            <w:shd w:val="clear" w:color="auto" w:fill="auto"/>
            <w:vAlign w:val="bottom"/>
          </w:tcPr>
          <w:p w14:paraId="7EDED989" w14:textId="77777777" w:rsidR="00455596" w:rsidRPr="0094169A" w:rsidRDefault="00455596" w:rsidP="00561F0E">
            <w:pPr>
              <w:keepNext/>
              <w:jc w:val="center"/>
              <w:textAlignment w:val="bottom"/>
              <w:rPr>
                <w:color w:val="000000"/>
                <w:sz w:val="18"/>
                <w:szCs w:val="18"/>
              </w:rPr>
            </w:pPr>
            <w:r w:rsidRPr="0094169A">
              <w:rPr>
                <w:color w:val="000000"/>
                <w:sz w:val="18"/>
                <w:szCs w:val="18"/>
              </w:rPr>
              <w:t>43</w:t>
            </w:r>
          </w:p>
        </w:tc>
        <w:tc>
          <w:tcPr>
            <w:tcW w:w="864" w:type="dxa"/>
            <w:tcBorders>
              <w:top w:val="single" w:sz="4" w:space="0" w:color="auto"/>
            </w:tcBorders>
            <w:shd w:val="clear" w:color="auto" w:fill="auto"/>
            <w:tcMar>
              <w:top w:w="15" w:type="dxa"/>
              <w:left w:w="15" w:type="dxa"/>
              <w:bottom w:w="0" w:type="dxa"/>
              <w:right w:w="15" w:type="dxa"/>
            </w:tcMar>
            <w:vAlign w:val="bottom"/>
          </w:tcPr>
          <w:p w14:paraId="464C607E" w14:textId="77777777" w:rsidR="00455596" w:rsidRPr="0094169A" w:rsidRDefault="00455596" w:rsidP="00561F0E">
            <w:pPr>
              <w:keepNext/>
              <w:jc w:val="center"/>
              <w:textAlignment w:val="bottom"/>
              <w:rPr>
                <w:color w:val="000000"/>
                <w:sz w:val="18"/>
                <w:szCs w:val="18"/>
              </w:rPr>
            </w:pPr>
            <w:r w:rsidRPr="0094169A">
              <w:rPr>
                <w:color w:val="000000"/>
                <w:sz w:val="18"/>
                <w:szCs w:val="18"/>
              </w:rPr>
              <w:t>48</w:t>
            </w:r>
          </w:p>
        </w:tc>
        <w:tc>
          <w:tcPr>
            <w:tcW w:w="864" w:type="dxa"/>
            <w:tcBorders>
              <w:top w:val="single" w:sz="4" w:space="0" w:color="auto"/>
            </w:tcBorders>
            <w:shd w:val="clear" w:color="auto" w:fill="auto"/>
            <w:vAlign w:val="bottom"/>
          </w:tcPr>
          <w:p w14:paraId="7B1EA832" w14:textId="77777777" w:rsidR="00455596" w:rsidRPr="0094169A" w:rsidRDefault="00455596" w:rsidP="00561F0E">
            <w:pPr>
              <w:keepNext/>
              <w:jc w:val="center"/>
              <w:textAlignment w:val="bottom"/>
              <w:rPr>
                <w:color w:val="000000"/>
                <w:sz w:val="18"/>
                <w:szCs w:val="18"/>
              </w:rPr>
            </w:pPr>
            <w:r w:rsidRPr="0094169A">
              <w:rPr>
                <w:color w:val="000000"/>
                <w:sz w:val="18"/>
                <w:szCs w:val="18"/>
              </w:rPr>
              <w:t>54</w:t>
            </w:r>
          </w:p>
        </w:tc>
        <w:tc>
          <w:tcPr>
            <w:tcW w:w="864" w:type="dxa"/>
            <w:tcBorders>
              <w:top w:val="single" w:sz="4" w:space="0" w:color="auto"/>
            </w:tcBorders>
            <w:shd w:val="clear" w:color="auto" w:fill="auto"/>
            <w:tcMar>
              <w:top w:w="15" w:type="dxa"/>
              <w:left w:w="15" w:type="dxa"/>
              <w:bottom w:w="0" w:type="dxa"/>
              <w:right w:w="15" w:type="dxa"/>
            </w:tcMar>
            <w:vAlign w:val="bottom"/>
          </w:tcPr>
          <w:p w14:paraId="622791FA" w14:textId="77777777" w:rsidR="00455596" w:rsidRPr="0094169A" w:rsidRDefault="00455596" w:rsidP="00561F0E">
            <w:pPr>
              <w:keepNext/>
              <w:jc w:val="center"/>
              <w:textAlignment w:val="bottom"/>
              <w:rPr>
                <w:color w:val="000000"/>
                <w:sz w:val="18"/>
                <w:szCs w:val="18"/>
              </w:rPr>
            </w:pPr>
            <w:r w:rsidRPr="0094169A">
              <w:rPr>
                <w:color w:val="000000"/>
                <w:sz w:val="18"/>
                <w:szCs w:val="18"/>
              </w:rPr>
              <w:t>59</w:t>
            </w:r>
          </w:p>
        </w:tc>
        <w:tc>
          <w:tcPr>
            <w:tcW w:w="864" w:type="dxa"/>
            <w:tcBorders>
              <w:top w:val="single" w:sz="4" w:space="0" w:color="auto"/>
            </w:tcBorders>
            <w:shd w:val="clear" w:color="auto" w:fill="auto"/>
            <w:tcMar>
              <w:top w:w="15" w:type="dxa"/>
              <w:left w:w="15" w:type="dxa"/>
              <w:bottom w:w="0" w:type="dxa"/>
              <w:right w:w="15" w:type="dxa"/>
            </w:tcMar>
            <w:vAlign w:val="bottom"/>
          </w:tcPr>
          <w:p w14:paraId="231821ED" w14:textId="77777777" w:rsidR="00455596" w:rsidRPr="0094169A" w:rsidRDefault="00455596" w:rsidP="00561F0E">
            <w:pPr>
              <w:keepNext/>
              <w:jc w:val="center"/>
              <w:textAlignment w:val="bottom"/>
              <w:rPr>
                <w:color w:val="000000"/>
                <w:sz w:val="18"/>
                <w:szCs w:val="18"/>
              </w:rPr>
            </w:pPr>
            <w:r w:rsidRPr="0094169A">
              <w:rPr>
                <w:color w:val="000000"/>
                <w:sz w:val="18"/>
                <w:szCs w:val="18"/>
              </w:rPr>
              <w:t>64</w:t>
            </w:r>
          </w:p>
        </w:tc>
        <w:tc>
          <w:tcPr>
            <w:tcW w:w="866" w:type="dxa"/>
            <w:tcBorders>
              <w:top w:val="single" w:sz="4" w:space="0" w:color="auto"/>
            </w:tcBorders>
            <w:shd w:val="clear" w:color="auto" w:fill="auto"/>
            <w:vAlign w:val="bottom"/>
          </w:tcPr>
          <w:p w14:paraId="6FDA4F78" w14:textId="77777777" w:rsidR="00455596" w:rsidRPr="0094169A" w:rsidRDefault="00455596" w:rsidP="00561F0E">
            <w:pPr>
              <w:keepNext/>
              <w:jc w:val="center"/>
              <w:textAlignment w:val="bottom"/>
              <w:rPr>
                <w:color w:val="000000"/>
                <w:sz w:val="18"/>
                <w:szCs w:val="18"/>
              </w:rPr>
            </w:pPr>
            <w:r w:rsidRPr="0094169A">
              <w:rPr>
                <w:color w:val="000000"/>
                <w:sz w:val="18"/>
                <w:szCs w:val="18"/>
              </w:rPr>
              <w:t>69</w:t>
            </w:r>
          </w:p>
        </w:tc>
      </w:tr>
      <w:tr w:rsidR="00455596" w:rsidRPr="0094169A" w14:paraId="1493B136" w14:textId="77777777" w:rsidTr="00561F0E">
        <w:trPr>
          <w:gridAfter w:val="1"/>
          <w:wAfter w:w="6" w:type="dxa"/>
          <w:trHeight w:val="283"/>
          <w:jc w:val="center"/>
        </w:trPr>
        <w:tc>
          <w:tcPr>
            <w:tcW w:w="2617" w:type="dxa"/>
            <w:shd w:val="clear" w:color="auto" w:fill="auto"/>
            <w:tcMar>
              <w:top w:w="15" w:type="dxa"/>
              <w:left w:w="108" w:type="dxa"/>
              <w:bottom w:w="0" w:type="dxa"/>
              <w:right w:w="108" w:type="dxa"/>
            </w:tcMar>
            <w:vAlign w:val="center"/>
          </w:tcPr>
          <w:p w14:paraId="7E63DA1C" w14:textId="77777777" w:rsidR="00455596" w:rsidRPr="0094169A" w:rsidRDefault="00455596" w:rsidP="00561F0E">
            <w:pPr>
              <w:keepNext/>
              <w:jc w:val="center"/>
              <w:rPr>
                <w:color w:val="000000" w:themeColor="text1"/>
                <w:sz w:val="18"/>
                <w:szCs w:val="18"/>
                <w:lang w:eastAsia="en-AU"/>
              </w:rPr>
            </w:pPr>
            <w:r w:rsidRPr="0094169A">
              <w:rPr>
                <w:rFonts w:eastAsia="PMingLiU"/>
                <w:bCs/>
                <w:color w:val="000000" w:themeColor="text1"/>
                <w:sz w:val="18"/>
                <w:szCs w:val="18"/>
              </w:rPr>
              <w:t>F</w:t>
            </w:r>
            <w:r w:rsidRPr="0094169A">
              <w:rPr>
                <w:rFonts w:eastAsia="PMingLiU"/>
                <w:bCs/>
                <w:color w:val="000000" w:themeColor="text1"/>
                <w:sz w:val="18"/>
                <w:szCs w:val="18"/>
                <w:vertAlign w:val="subscript"/>
              </w:rPr>
              <w:t>2018</w:t>
            </w:r>
            <w:r w:rsidRPr="0094169A">
              <w:rPr>
                <w:color w:val="000000" w:themeColor="text1"/>
                <w:kern w:val="24"/>
                <w:sz w:val="18"/>
                <w:szCs w:val="18"/>
                <w:lang w:eastAsia="en-AU"/>
              </w:rPr>
              <w:t>&gt; F</w:t>
            </w:r>
            <w:r w:rsidRPr="0094169A">
              <w:rPr>
                <w:rFonts w:eastAsia="PMingLiU"/>
                <w:bCs/>
                <w:color w:val="000000" w:themeColor="text1"/>
                <w:sz w:val="18"/>
                <w:szCs w:val="18"/>
                <w:vertAlign w:val="subscript"/>
              </w:rPr>
              <w:t>PME</w:t>
            </w:r>
          </w:p>
        </w:tc>
        <w:tc>
          <w:tcPr>
            <w:tcW w:w="862" w:type="dxa"/>
            <w:shd w:val="clear" w:color="auto" w:fill="auto"/>
            <w:tcMar>
              <w:top w:w="15" w:type="dxa"/>
              <w:left w:w="15" w:type="dxa"/>
              <w:bottom w:w="0" w:type="dxa"/>
              <w:right w:w="15" w:type="dxa"/>
            </w:tcMar>
            <w:vAlign w:val="bottom"/>
          </w:tcPr>
          <w:p w14:paraId="57B37322"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14</w:t>
            </w:r>
          </w:p>
        </w:tc>
        <w:tc>
          <w:tcPr>
            <w:tcW w:w="864" w:type="dxa"/>
            <w:shd w:val="clear" w:color="auto" w:fill="auto"/>
            <w:tcMar>
              <w:top w:w="15" w:type="dxa"/>
              <w:left w:w="15" w:type="dxa"/>
              <w:bottom w:w="0" w:type="dxa"/>
              <w:right w:w="15" w:type="dxa"/>
            </w:tcMar>
            <w:vAlign w:val="bottom"/>
          </w:tcPr>
          <w:p w14:paraId="1A54CF13"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30</w:t>
            </w:r>
          </w:p>
        </w:tc>
        <w:tc>
          <w:tcPr>
            <w:tcW w:w="864" w:type="dxa"/>
            <w:shd w:val="clear" w:color="auto" w:fill="auto"/>
            <w:vAlign w:val="bottom"/>
          </w:tcPr>
          <w:p w14:paraId="4298B8B6" w14:textId="77777777" w:rsidR="00455596" w:rsidRPr="0094169A" w:rsidRDefault="00455596" w:rsidP="00561F0E">
            <w:pPr>
              <w:keepNext/>
              <w:jc w:val="center"/>
              <w:textAlignment w:val="bottom"/>
              <w:rPr>
                <w:rFonts w:eastAsia="MS Mincho"/>
                <w:color w:val="FF0000"/>
                <w:sz w:val="18"/>
                <w:szCs w:val="18"/>
                <w:lang w:eastAsia="ja-JP"/>
              </w:rPr>
            </w:pPr>
            <w:r w:rsidRPr="0094169A">
              <w:rPr>
                <w:color w:val="000000"/>
                <w:sz w:val="18"/>
                <w:szCs w:val="18"/>
              </w:rPr>
              <w:t>47</w:t>
            </w:r>
          </w:p>
        </w:tc>
        <w:tc>
          <w:tcPr>
            <w:tcW w:w="864" w:type="dxa"/>
            <w:shd w:val="clear" w:color="auto" w:fill="auto"/>
            <w:vAlign w:val="bottom"/>
          </w:tcPr>
          <w:p w14:paraId="77F2E96B" w14:textId="77777777" w:rsidR="00455596" w:rsidRPr="0094169A" w:rsidRDefault="00455596" w:rsidP="00561F0E">
            <w:pPr>
              <w:keepNext/>
              <w:jc w:val="center"/>
              <w:textAlignment w:val="bottom"/>
              <w:rPr>
                <w:rFonts w:eastAsia="MS Mincho"/>
                <w:color w:val="FF0000"/>
                <w:sz w:val="18"/>
                <w:szCs w:val="18"/>
                <w:lang w:eastAsia="ja-JP"/>
              </w:rPr>
            </w:pPr>
            <w:r w:rsidRPr="0094169A">
              <w:rPr>
                <w:color w:val="000000"/>
                <w:sz w:val="18"/>
                <w:szCs w:val="18"/>
              </w:rPr>
              <w:t>63</w:t>
            </w:r>
          </w:p>
        </w:tc>
        <w:tc>
          <w:tcPr>
            <w:tcW w:w="864" w:type="dxa"/>
            <w:shd w:val="clear" w:color="auto" w:fill="auto"/>
            <w:tcMar>
              <w:top w:w="15" w:type="dxa"/>
              <w:left w:w="15" w:type="dxa"/>
              <w:bottom w:w="0" w:type="dxa"/>
              <w:right w:w="15" w:type="dxa"/>
            </w:tcMar>
            <w:vAlign w:val="bottom"/>
          </w:tcPr>
          <w:p w14:paraId="3CF19CC4"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75</w:t>
            </w:r>
          </w:p>
        </w:tc>
        <w:tc>
          <w:tcPr>
            <w:tcW w:w="864" w:type="dxa"/>
            <w:shd w:val="clear" w:color="auto" w:fill="auto"/>
            <w:vAlign w:val="bottom"/>
          </w:tcPr>
          <w:p w14:paraId="1C17DE73" w14:textId="77777777" w:rsidR="00455596" w:rsidRPr="0094169A" w:rsidRDefault="00455596" w:rsidP="00561F0E">
            <w:pPr>
              <w:keepNext/>
              <w:jc w:val="center"/>
              <w:textAlignment w:val="bottom"/>
              <w:rPr>
                <w:rFonts w:eastAsia="MS Mincho"/>
                <w:color w:val="FF0000"/>
                <w:sz w:val="18"/>
                <w:szCs w:val="18"/>
                <w:lang w:eastAsia="ja-JP"/>
              </w:rPr>
            </w:pPr>
            <w:r w:rsidRPr="0094169A">
              <w:rPr>
                <w:color w:val="000000"/>
                <w:sz w:val="18"/>
                <w:szCs w:val="18"/>
              </w:rPr>
              <w:t>84</w:t>
            </w:r>
          </w:p>
        </w:tc>
        <w:tc>
          <w:tcPr>
            <w:tcW w:w="864" w:type="dxa"/>
            <w:shd w:val="clear" w:color="auto" w:fill="auto"/>
            <w:tcMar>
              <w:top w:w="15" w:type="dxa"/>
              <w:left w:w="15" w:type="dxa"/>
              <w:bottom w:w="0" w:type="dxa"/>
              <w:right w:w="15" w:type="dxa"/>
            </w:tcMar>
            <w:vAlign w:val="bottom"/>
          </w:tcPr>
          <w:p w14:paraId="5ABDB40C"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90</w:t>
            </w:r>
          </w:p>
        </w:tc>
        <w:tc>
          <w:tcPr>
            <w:tcW w:w="864" w:type="dxa"/>
            <w:shd w:val="clear" w:color="auto" w:fill="auto"/>
            <w:tcMar>
              <w:top w:w="15" w:type="dxa"/>
              <w:left w:w="15" w:type="dxa"/>
              <w:bottom w:w="0" w:type="dxa"/>
              <w:right w:w="15" w:type="dxa"/>
            </w:tcMar>
            <w:vAlign w:val="bottom"/>
          </w:tcPr>
          <w:p w14:paraId="3AB11B22"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94</w:t>
            </w:r>
          </w:p>
        </w:tc>
        <w:tc>
          <w:tcPr>
            <w:tcW w:w="866" w:type="dxa"/>
            <w:shd w:val="clear" w:color="auto" w:fill="auto"/>
            <w:vAlign w:val="bottom"/>
          </w:tcPr>
          <w:p w14:paraId="376ABAF9"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96</w:t>
            </w:r>
          </w:p>
        </w:tc>
      </w:tr>
      <w:tr w:rsidR="00455596" w:rsidRPr="0094169A" w14:paraId="67CA80E4" w14:textId="77777777" w:rsidTr="00561F0E">
        <w:trPr>
          <w:gridAfter w:val="1"/>
          <w:wAfter w:w="6" w:type="dxa"/>
          <w:trHeight w:val="138"/>
          <w:jc w:val="center"/>
        </w:trPr>
        <w:tc>
          <w:tcPr>
            <w:tcW w:w="2617" w:type="dxa"/>
            <w:shd w:val="clear" w:color="auto" w:fill="auto"/>
            <w:tcMar>
              <w:top w:w="15" w:type="dxa"/>
              <w:left w:w="108" w:type="dxa"/>
              <w:bottom w:w="0" w:type="dxa"/>
              <w:right w:w="108" w:type="dxa"/>
            </w:tcMar>
            <w:vAlign w:val="center"/>
          </w:tcPr>
          <w:p w14:paraId="0102146D" w14:textId="77777777" w:rsidR="00455596" w:rsidRPr="0094169A" w:rsidRDefault="00455596" w:rsidP="00561F0E">
            <w:pPr>
              <w:keepNext/>
              <w:jc w:val="center"/>
              <w:rPr>
                <w:color w:val="000000" w:themeColor="text1"/>
                <w:sz w:val="18"/>
                <w:szCs w:val="18"/>
                <w:lang w:eastAsia="en-AU"/>
              </w:rPr>
            </w:pPr>
          </w:p>
        </w:tc>
        <w:tc>
          <w:tcPr>
            <w:tcW w:w="862" w:type="dxa"/>
            <w:shd w:val="clear" w:color="auto" w:fill="auto"/>
            <w:tcMar>
              <w:top w:w="15" w:type="dxa"/>
              <w:left w:w="15" w:type="dxa"/>
              <w:bottom w:w="0" w:type="dxa"/>
              <w:right w:w="15" w:type="dxa"/>
            </w:tcMar>
            <w:vAlign w:val="center"/>
          </w:tcPr>
          <w:p w14:paraId="47D648BA" w14:textId="77777777" w:rsidR="00455596" w:rsidRPr="0094169A" w:rsidRDefault="00455596" w:rsidP="00561F0E">
            <w:pPr>
              <w:keepNext/>
              <w:jc w:val="center"/>
              <w:rPr>
                <w:color w:val="FF0000"/>
                <w:sz w:val="18"/>
                <w:szCs w:val="18"/>
                <w:lang w:eastAsia="en-AU"/>
              </w:rPr>
            </w:pPr>
          </w:p>
        </w:tc>
        <w:tc>
          <w:tcPr>
            <w:tcW w:w="864" w:type="dxa"/>
            <w:shd w:val="clear" w:color="auto" w:fill="auto"/>
            <w:tcMar>
              <w:top w:w="15" w:type="dxa"/>
              <w:left w:w="15" w:type="dxa"/>
              <w:bottom w:w="0" w:type="dxa"/>
              <w:right w:w="15" w:type="dxa"/>
            </w:tcMar>
            <w:vAlign w:val="center"/>
          </w:tcPr>
          <w:p w14:paraId="02B0EB15" w14:textId="77777777" w:rsidR="00455596" w:rsidRPr="0094169A" w:rsidRDefault="00455596" w:rsidP="00561F0E">
            <w:pPr>
              <w:keepNext/>
              <w:jc w:val="center"/>
              <w:rPr>
                <w:color w:val="FF0000"/>
                <w:sz w:val="18"/>
                <w:szCs w:val="18"/>
                <w:lang w:eastAsia="en-AU"/>
              </w:rPr>
            </w:pPr>
          </w:p>
        </w:tc>
        <w:tc>
          <w:tcPr>
            <w:tcW w:w="864" w:type="dxa"/>
            <w:shd w:val="clear" w:color="auto" w:fill="auto"/>
            <w:vAlign w:val="center"/>
          </w:tcPr>
          <w:p w14:paraId="58372599" w14:textId="77777777" w:rsidR="00455596" w:rsidRPr="0094169A" w:rsidRDefault="00455596" w:rsidP="00561F0E">
            <w:pPr>
              <w:keepNext/>
              <w:jc w:val="center"/>
              <w:rPr>
                <w:color w:val="FF0000"/>
                <w:sz w:val="18"/>
                <w:szCs w:val="18"/>
                <w:lang w:eastAsia="en-AU"/>
              </w:rPr>
            </w:pPr>
          </w:p>
        </w:tc>
        <w:tc>
          <w:tcPr>
            <w:tcW w:w="864" w:type="dxa"/>
            <w:shd w:val="clear" w:color="auto" w:fill="auto"/>
            <w:vAlign w:val="center"/>
          </w:tcPr>
          <w:p w14:paraId="56AA356D" w14:textId="77777777" w:rsidR="00455596" w:rsidRPr="0094169A" w:rsidRDefault="00455596" w:rsidP="00561F0E">
            <w:pPr>
              <w:keepNext/>
              <w:jc w:val="center"/>
              <w:rPr>
                <w:color w:val="FF0000"/>
                <w:sz w:val="18"/>
                <w:szCs w:val="18"/>
                <w:lang w:eastAsia="en-AU"/>
              </w:rPr>
            </w:pPr>
          </w:p>
        </w:tc>
        <w:tc>
          <w:tcPr>
            <w:tcW w:w="864" w:type="dxa"/>
            <w:shd w:val="clear" w:color="auto" w:fill="auto"/>
            <w:tcMar>
              <w:top w:w="15" w:type="dxa"/>
              <w:left w:w="15" w:type="dxa"/>
              <w:bottom w:w="0" w:type="dxa"/>
              <w:right w:w="15" w:type="dxa"/>
            </w:tcMar>
            <w:vAlign w:val="center"/>
          </w:tcPr>
          <w:p w14:paraId="5AD07515" w14:textId="77777777" w:rsidR="00455596" w:rsidRPr="0094169A" w:rsidRDefault="00455596" w:rsidP="00561F0E">
            <w:pPr>
              <w:keepNext/>
              <w:jc w:val="center"/>
              <w:rPr>
                <w:color w:val="FF0000"/>
                <w:sz w:val="18"/>
                <w:szCs w:val="18"/>
                <w:lang w:eastAsia="en-AU"/>
              </w:rPr>
            </w:pPr>
          </w:p>
        </w:tc>
        <w:tc>
          <w:tcPr>
            <w:tcW w:w="864" w:type="dxa"/>
            <w:shd w:val="clear" w:color="auto" w:fill="auto"/>
            <w:vAlign w:val="center"/>
          </w:tcPr>
          <w:p w14:paraId="0A288258" w14:textId="77777777" w:rsidR="00455596" w:rsidRPr="0094169A" w:rsidRDefault="00455596" w:rsidP="00561F0E">
            <w:pPr>
              <w:keepNext/>
              <w:jc w:val="center"/>
              <w:rPr>
                <w:color w:val="FF0000"/>
                <w:sz w:val="18"/>
                <w:szCs w:val="18"/>
                <w:lang w:eastAsia="en-AU"/>
              </w:rPr>
            </w:pPr>
          </w:p>
        </w:tc>
        <w:tc>
          <w:tcPr>
            <w:tcW w:w="864" w:type="dxa"/>
            <w:shd w:val="clear" w:color="auto" w:fill="auto"/>
            <w:tcMar>
              <w:top w:w="15" w:type="dxa"/>
              <w:left w:w="15" w:type="dxa"/>
              <w:bottom w:w="0" w:type="dxa"/>
              <w:right w:w="15" w:type="dxa"/>
            </w:tcMar>
            <w:vAlign w:val="center"/>
          </w:tcPr>
          <w:p w14:paraId="4F1D2A08" w14:textId="77777777" w:rsidR="00455596" w:rsidRPr="0094169A" w:rsidRDefault="00455596" w:rsidP="00561F0E">
            <w:pPr>
              <w:keepNext/>
              <w:jc w:val="center"/>
              <w:rPr>
                <w:color w:val="FF0000"/>
                <w:sz w:val="18"/>
                <w:szCs w:val="18"/>
                <w:lang w:eastAsia="en-AU"/>
              </w:rPr>
            </w:pPr>
          </w:p>
        </w:tc>
        <w:tc>
          <w:tcPr>
            <w:tcW w:w="864" w:type="dxa"/>
            <w:shd w:val="clear" w:color="auto" w:fill="auto"/>
            <w:tcMar>
              <w:top w:w="15" w:type="dxa"/>
              <w:left w:w="15" w:type="dxa"/>
              <w:bottom w:w="0" w:type="dxa"/>
              <w:right w:w="15" w:type="dxa"/>
            </w:tcMar>
            <w:vAlign w:val="center"/>
          </w:tcPr>
          <w:p w14:paraId="2CE25A5C" w14:textId="77777777" w:rsidR="00455596" w:rsidRPr="0094169A" w:rsidRDefault="00455596" w:rsidP="00561F0E">
            <w:pPr>
              <w:keepNext/>
              <w:jc w:val="center"/>
              <w:rPr>
                <w:color w:val="FF0000"/>
                <w:sz w:val="18"/>
                <w:szCs w:val="18"/>
                <w:lang w:eastAsia="en-AU"/>
              </w:rPr>
            </w:pPr>
          </w:p>
        </w:tc>
        <w:tc>
          <w:tcPr>
            <w:tcW w:w="866" w:type="dxa"/>
            <w:shd w:val="clear" w:color="auto" w:fill="auto"/>
            <w:vAlign w:val="center"/>
          </w:tcPr>
          <w:p w14:paraId="02B15304" w14:textId="77777777" w:rsidR="00455596" w:rsidRPr="0094169A" w:rsidRDefault="00455596" w:rsidP="00561F0E">
            <w:pPr>
              <w:keepNext/>
              <w:jc w:val="center"/>
              <w:rPr>
                <w:color w:val="FF0000"/>
                <w:sz w:val="18"/>
                <w:szCs w:val="18"/>
                <w:lang w:eastAsia="en-AU"/>
              </w:rPr>
            </w:pPr>
          </w:p>
        </w:tc>
      </w:tr>
      <w:tr w:rsidR="00455596" w:rsidRPr="0094169A" w14:paraId="0BFB88BF" w14:textId="77777777" w:rsidTr="00561F0E">
        <w:trPr>
          <w:gridAfter w:val="1"/>
          <w:wAfter w:w="6" w:type="dxa"/>
          <w:trHeight w:val="283"/>
          <w:jc w:val="center"/>
        </w:trPr>
        <w:tc>
          <w:tcPr>
            <w:tcW w:w="2617" w:type="dxa"/>
            <w:shd w:val="clear" w:color="auto" w:fill="auto"/>
            <w:tcMar>
              <w:top w:w="15" w:type="dxa"/>
              <w:left w:w="108" w:type="dxa"/>
              <w:bottom w:w="0" w:type="dxa"/>
              <w:right w:w="108" w:type="dxa"/>
            </w:tcMar>
            <w:vAlign w:val="center"/>
          </w:tcPr>
          <w:p w14:paraId="5EBF8CC3" w14:textId="77777777" w:rsidR="00455596" w:rsidRPr="0094169A" w:rsidRDefault="00455596" w:rsidP="00561F0E">
            <w:pPr>
              <w:keepNext/>
              <w:jc w:val="center"/>
              <w:rPr>
                <w:color w:val="000000" w:themeColor="text1"/>
                <w:sz w:val="18"/>
                <w:szCs w:val="18"/>
                <w:lang w:eastAsia="en-AU"/>
              </w:rPr>
            </w:pPr>
            <w:r w:rsidRPr="0094169A">
              <w:rPr>
                <w:rFonts w:eastAsia="PMingLiU"/>
                <w:bCs/>
                <w:color w:val="000000" w:themeColor="text1"/>
                <w:sz w:val="18"/>
                <w:szCs w:val="18"/>
              </w:rPr>
              <w:t>B</w:t>
            </w:r>
            <w:r w:rsidRPr="0094169A">
              <w:rPr>
                <w:rFonts w:eastAsia="PMingLiU"/>
                <w:bCs/>
                <w:color w:val="000000" w:themeColor="text1"/>
                <w:sz w:val="18"/>
                <w:szCs w:val="18"/>
                <w:vertAlign w:val="subscript"/>
              </w:rPr>
              <w:t>2025</w:t>
            </w:r>
            <w:r w:rsidRPr="0094169A">
              <w:rPr>
                <w:color w:val="000000" w:themeColor="text1"/>
                <w:kern w:val="24"/>
                <w:sz w:val="18"/>
                <w:szCs w:val="18"/>
                <w:lang w:eastAsia="en-AU"/>
              </w:rPr>
              <w:t>&lt;</w:t>
            </w:r>
            <w:r w:rsidRPr="0094169A">
              <w:rPr>
                <w:rFonts w:eastAsia="PMingLiU"/>
                <w:bCs/>
                <w:color w:val="000000" w:themeColor="text1"/>
                <w:sz w:val="18"/>
                <w:szCs w:val="18"/>
              </w:rPr>
              <w:t>B</w:t>
            </w:r>
            <w:r w:rsidRPr="0094169A">
              <w:rPr>
                <w:rFonts w:eastAsia="PMingLiU"/>
                <w:bCs/>
                <w:color w:val="000000" w:themeColor="text1"/>
                <w:sz w:val="18"/>
                <w:szCs w:val="18"/>
                <w:vertAlign w:val="subscript"/>
              </w:rPr>
              <w:t>PME</w:t>
            </w:r>
          </w:p>
        </w:tc>
        <w:tc>
          <w:tcPr>
            <w:tcW w:w="862" w:type="dxa"/>
            <w:shd w:val="clear" w:color="auto" w:fill="auto"/>
            <w:tcMar>
              <w:top w:w="15" w:type="dxa"/>
              <w:left w:w="15" w:type="dxa"/>
              <w:bottom w:w="0" w:type="dxa"/>
              <w:right w:w="15" w:type="dxa"/>
            </w:tcMar>
            <w:vAlign w:val="bottom"/>
          </w:tcPr>
          <w:p w14:paraId="7587EED3"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16</w:t>
            </w:r>
          </w:p>
        </w:tc>
        <w:tc>
          <w:tcPr>
            <w:tcW w:w="864" w:type="dxa"/>
            <w:shd w:val="clear" w:color="auto" w:fill="auto"/>
            <w:tcMar>
              <w:top w:w="15" w:type="dxa"/>
              <w:left w:w="15" w:type="dxa"/>
              <w:bottom w:w="0" w:type="dxa"/>
              <w:right w:w="15" w:type="dxa"/>
            </w:tcMar>
            <w:vAlign w:val="bottom"/>
          </w:tcPr>
          <w:p w14:paraId="7AE21A9F"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30</w:t>
            </w:r>
          </w:p>
        </w:tc>
        <w:tc>
          <w:tcPr>
            <w:tcW w:w="864" w:type="dxa"/>
            <w:shd w:val="clear" w:color="auto" w:fill="auto"/>
            <w:vAlign w:val="bottom"/>
          </w:tcPr>
          <w:p w14:paraId="4F243D46" w14:textId="77777777" w:rsidR="00455596" w:rsidRPr="0094169A" w:rsidRDefault="00455596" w:rsidP="00561F0E">
            <w:pPr>
              <w:keepNext/>
              <w:jc w:val="center"/>
              <w:textAlignment w:val="bottom"/>
              <w:rPr>
                <w:rFonts w:eastAsia="MS Mincho"/>
                <w:color w:val="FF0000"/>
                <w:sz w:val="18"/>
                <w:szCs w:val="18"/>
                <w:lang w:eastAsia="ja-JP"/>
              </w:rPr>
            </w:pPr>
            <w:r w:rsidRPr="0094169A">
              <w:rPr>
                <w:color w:val="000000"/>
                <w:sz w:val="18"/>
                <w:szCs w:val="18"/>
              </w:rPr>
              <w:t>46</w:t>
            </w:r>
          </w:p>
        </w:tc>
        <w:tc>
          <w:tcPr>
            <w:tcW w:w="864" w:type="dxa"/>
            <w:shd w:val="clear" w:color="auto" w:fill="auto"/>
            <w:vAlign w:val="bottom"/>
          </w:tcPr>
          <w:p w14:paraId="3C4F757B" w14:textId="77777777" w:rsidR="00455596" w:rsidRPr="0094169A" w:rsidRDefault="00455596" w:rsidP="00561F0E">
            <w:pPr>
              <w:keepNext/>
              <w:jc w:val="center"/>
              <w:textAlignment w:val="bottom"/>
              <w:rPr>
                <w:rFonts w:eastAsia="MS Mincho"/>
                <w:color w:val="FF0000"/>
                <w:sz w:val="18"/>
                <w:szCs w:val="18"/>
                <w:lang w:eastAsia="ja-JP"/>
              </w:rPr>
            </w:pPr>
            <w:r w:rsidRPr="0094169A">
              <w:rPr>
                <w:color w:val="000000"/>
                <w:sz w:val="18"/>
                <w:szCs w:val="18"/>
              </w:rPr>
              <w:t>60</w:t>
            </w:r>
          </w:p>
        </w:tc>
        <w:tc>
          <w:tcPr>
            <w:tcW w:w="864" w:type="dxa"/>
            <w:shd w:val="clear" w:color="auto" w:fill="auto"/>
            <w:tcMar>
              <w:top w:w="15" w:type="dxa"/>
              <w:left w:w="15" w:type="dxa"/>
              <w:bottom w:w="0" w:type="dxa"/>
              <w:right w:w="15" w:type="dxa"/>
            </w:tcMar>
            <w:vAlign w:val="bottom"/>
          </w:tcPr>
          <w:p w14:paraId="4F5ABB5C"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73</w:t>
            </w:r>
          </w:p>
        </w:tc>
        <w:tc>
          <w:tcPr>
            <w:tcW w:w="864" w:type="dxa"/>
            <w:shd w:val="clear" w:color="auto" w:fill="auto"/>
            <w:vAlign w:val="bottom"/>
          </w:tcPr>
          <w:p w14:paraId="66D2A3CB" w14:textId="77777777" w:rsidR="00455596" w:rsidRPr="0094169A" w:rsidRDefault="00455596" w:rsidP="00561F0E">
            <w:pPr>
              <w:keepNext/>
              <w:jc w:val="center"/>
              <w:textAlignment w:val="bottom"/>
              <w:rPr>
                <w:rFonts w:eastAsia="MS Mincho"/>
                <w:color w:val="FF0000"/>
                <w:sz w:val="18"/>
                <w:szCs w:val="18"/>
                <w:lang w:eastAsia="ja-JP"/>
              </w:rPr>
            </w:pPr>
            <w:r w:rsidRPr="0094169A">
              <w:rPr>
                <w:color w:val="000000"/>
                <w:sz w:val="18"/>
                <w:szCs w:val="18"/>
              </w:rPr>
              <w:t>82</w:t>
            </w:r>
          </w:p>
        </w:tc>
        <w:tc>
          <w:tcPr>
            <w:tcW w:w="864" w:type="dxa"/>
            <w:shd w:val="clear" w:color="auto" w:fill="auto"/>
            <w:tcMar>
              <w:top w:w="15" w:type="dxa"/>
              <w:left w:w="15" w:type="dxa"/>
              <w:bottom w:w="0" w:type="dxa"/>
              <w:right w:w="15" w:type="dxa"/>
            </w:tcMar>
            <w:vAlign w:val="bottom"/>
          </w:tcPr>
          <w:p w14:paraId="39E287C0"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88</w:t>
            </w:r>
          </w:p>
        </w:tc>
        <w:tc>
          <w:tcPr>
            <w:tcW w:w="864" w:type="dxa"/>
            <w:shd w:val="clear" w:color="auto" w:fill="auto"/>
            <w:tcMar>
              <w:top w:w="15" w:type="dxa"/>
              <w:left w:w="15" w:type="dxa"/>
              <w:bottom w:w="0" w:type="dxa"/>
              <w:right w:w="15" w:type="dxa"/>
            </w:tcMar>
            <w:vAlign w:val="bottom"/>
          </w:tcPr>
          <w:p w14:paraId="427EA4E5"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93</w:t>
            </w:r>
          </w:p>
        </w:tc>
        <w:tc>
          <w:tcPr>
            <w:tcW w:w="866" w:type="dxa"/>
            <w:shd w:val="clear" w:color="auto" w:fill="auto"/>
            <w:vAlign w:val="bottom"/>
          </w:tcPr>
          <w:p w14:paraId="0F88BE5C" w14:textId="77777777" w:rsidR="00455596" w:rsidRPr="0094169A" w:rsidRDefault="00455596" w:rsidP="00561F0E">
            <w:pPr>
              <w:keepNext/>
              <w:jc w:val="center"/>
              <w:textAlignment w:val="bottom"/>
              <w:rPr>
                <w:color w:val="FF0000"/>
                <w:sz w:val="18"/>
                <w:szCs w:val="18"/>
                <w:lang w:eastAsia="en-AU"/>
              </w:rPr>
            </w:pPr>
            <w:r w:rsidRPr="0094169A">
              <w:rPr>
                <w:color w:val="000000"/>
                <w:sz w:val="18"/>
                <w:szCs w:val="18"/>
              </w:rPr>
              <w:t>95</w:t>
            </w:r>
          </w:p>
        </w:tc>
      </w:tr>
      <w:tr w:rsidR="00455596" w:rsidRPr="0094169A" w14:paraId="276A177D" w14:textId="77777777" w:rsidTr="00561F0E">
        <w:trPr>
          <w:gridAfter w:val="1"/>
          <w:wAfter w:w="6" w:type="dxa"/>
          <w:trHeight w:val="283"/>
          <w:jc w:val="center"/>
        </w:trPr>
        <w:tc>
          <w:tcPr>
            <w:tcW w:w="2617" w:type="dxa"/>
            <w:tcBorders>
              <w:bottom w:val="single" w:sz="4" w:space="0" w:color="auto"/>
            </w:tcBorders>
            <w:shd w:val="clear" w:color="auto" w:fill="auto"/>
            <w:tcMar>
              <w:top w:w="15" w:type="dxa"/>
              <w:left w:w="108" w:type="dxa"/>
              <w:bottom w:w="0" w:type="dxa"/>
              <w:right w:w="108" w:type="dxa"/>
            </w:tcMar>
            <w:vAlign w:val="center"/>
          </w:tcPr>
          <w:p w14:paraId="4BB9B924" w14:textId="77777777" w:rsidR="00455596" w:rsidRPr="0094169A" w:rsidRDefault="00455596" w:rsidP="00C844FE">
            <w:pPr>
              <w:jc w:val="center"/>
              <w:rPr>
                <w:color w:val="000000" w:themeColor="text1"/>
                <w:sz w:val="18"/>
                <w:szCs w:val="18"/>
                <w:lang w:eastAsia="en-AU"/>
              </w:rPr>
            </w:pPr>
            <w:r w:rsidRPr="0094169A">
              <w:rPr>
                <w:rFonts w:eastAsia="PMingLiU"/>
                <w:bCs/>
                <w:color w:val="000000" w:themeColor="text1"/>
                <w:sz w:val="18"/>
                <w:szCs w:val="18"/>
              </w:rPr>
              <w:t>F</w:t>
            </w:r>
            <w:r w:rsidRPr="0094169A">
              <w:rPr>
                <w:rFonts w:eastAsia="PMingLiU"/>
                <w:bCs/>
                <w:color w:val="000000" w:themeColor="text1"/>
                <w:sz w:val="18"/>
                <w:szCs w:val="18"/>
                <w:vertAlign w:val="subscript"/>
              </w:rPr>
              <w:t>2025</w:t>
            </w:r>
            <w:r w:rsidRPr="0094169A">
              <w:rPr>
                <w:color w:val="000000" w:themeColor="text1"/>
                <w:kern w:val="24"/>
                <w:sz w:val="18"/>
                <w:szCs w:val="18"/>
                <w:lang w:eastAsia="en-AU"/>
              </w:rPr>
              <w:t>&gt; F</w:t>
            </w:r>
            <w:r w:rsidRPr="0094169A">
              <w:rPr>
                <w:rFonts w:eastAsia="PMingLiU"/>
                <w:bCs/>
                <w:color w:val="000000" w:themeColor="text1"/>
                <w:sz w:val="18"/>
                <w:szCs w:val="18"/>
                <w:vertAlign w:val="subscript"/>
              </w:rPr>
              <w:t>PME</w:t>
            </w:r>
          </w:p>
        </w:tc>
        <w:tc>
          <w:tcPr>
            <w:tcW w:w="862" w:type="dxa"/>
            <w:tcBorders>
              <w:bottom w:val="single" w:sz="4" w:space="0" w:color="auto"/>
            </w:tcBorders>
            <w:shd w:val="clear" w:color="auto" w:fill="auto"/>
            <w:tcMar>
              <w:top w:w="15" w:type="dxa"/>
              <w:left w:w="15" w:type="dxa"/>
              <w:bottom w:w="0" w:type="dxa"/>
              <w:right w:w="15" w:type="dxa"/>
            </w:tcMar>
            <w:vAlign w:val="bottom"/>
          </w:tcPr>
          <w:p w14:paraId="2F0064EF" w14:textId="77777777" w:rsidR="00455596" w:rsidRPr="0094169A" w:rsidRDefault="00455596" w:rsidP="00C844FE">
            <w:pPr>
              <w:jc w:val="center"/>
              <w:textAlignment w:val="bottom"/>
              <w:rPr>
                <w:color w:val="FF0000"/>
                <w:sz w:val="18"/>
                <w:szCs w:val="18"/>
                <w:lang w:eastAsia="en-AU"/>
              </w:rPr>
            </w:pPr>
            <w:r w:rsidRPr="0094169A">
              <w:rPr>
                <w:color w:val="000000"/>
                <w:sz w:val="18"/>
                <w:szCs w:val="18"/>
              </w:rPr>
              <w:t>12</w:t>
            </w:r>
          </w:p>
        </w:tc>
        <w:tc>
          <w:tcPr>
            <w:tcW w:w="864" w:type="dxa"/>
            <w:tcBorders>
              <w:bottom w:val="single" w:sz="4" w:space="0" w:color="auto"/>
            </w:tcBorders>
            <w:shd w:val="clear" w:color="auto" w:fill="auto"/>
            <w:tcMar>
              <w:top w:w="15" w:type="dxa"/>
              <w:left w:w="15" w:type="dxa"/>
              <w:bottom w:w="0" w:type="dxa"/>
              <w:right w:w="15" w:type="dxa"/>
            </w:tcMar>
            <w:vAlign w:val="bottom"/>
          </w:tcPr>
          <w:p w14:paraId="3D2CE9E9" w14:textId="77777777" w:rsidR="00455596" w:rsidRPr="0094169A" w:rsidRDefault="00455596" w:rsidP="00C844FE">
            <w:pPr>
              <w:jc w:val="center"/>
              <w:textAlignment w:val="bottom"/>
              <w:rPr>
                <w:color w:val="FF0000"/>
                <w:sz w:val="18"/>
                <w:szCs w:val="18"/>
                <w:lang w:eastAsia="en-AU"/>
              </w:rPr>
            </w:pPr>
            <w:r w:rsidRPr="0094169A">
              <w:rPr>
                <w:color w:val="000000"/>
                <w:sz w:val="18"/>
                <w:szCs w:val="18"/>
              </w:rPr>
              <w:t>30</w:t>
            </w:r>
          </w:p>
        </w:tc>
        <w:tc>
          <w:tcPr>
            <w:tcW w:w="864" w:type="dxa"/>
            <w:tcBorders>
              <w:bottom w:val="single" w:sz="4" w:space="0" w:color="auto"/>
            </w:tcBorders>
            <w:shd w:val="clear" w:color="auto" w:fill="auto"/>
            <w:vAlign w:val="bottom"/>
          </w:tcPr>
          <w:p w14:paraId="7F165540" w14:textId="77777777" w:rsidR="00455596" w:rsidRPr="0094169A" w:rsidRDefault="00455596" w:rsidP="00C844FE">
            <w:pPr>
              <w:jc w:val="center"/>
              <w:textAlignment w:val="bottom"/>
              <w:rPr>
                <w:rFonts w:eastAsia="MS Mincho"/>
                <w:color w:val="FF0000"/>
                <w:sz w:val="18"/>
                <w:szCs w:val="18"/>
                <w:lang w:eastAsia="ja-JP"/>
              </w:rPr>
            </w:pPr>
            <w:r w:rsidRPr="0094169A">
              <w:rPr>
                <w:color w:val="000000"/>
                <w:sz w:val="18"/>
                <w:szCs w:val="18"/>
              </w:rPr>
              <w:t>51</w:t>
            </w:r>
          </w:p>
        </w:tc>
        <w:tc>
          <w:tcPr>
            <w:tcW w:w="864" w:type="dxa"/>
            <w:tcBorders>
              <w:bottom w:val="single" w:sz="4" w:space="0" w:color="auto"/>
            </w:tcBorders>
            <w:shd w:val="clear" w:color="auto" w:fill="auto"/>
            <w:vAlign w:val="bottom"/>
          </w:tcPr>
          <w:p w14:paraId="16D16EA4" w14:textId="77777777" w:rsidR="00455596" w:rsidRPr="0094169A" w:rsidRDefault="00455596" w:rsidP="00C844FE">
            <w:pPr>
              <w:jc w:val="center"/>
              <w:textAlignment w:val="bottom"/>
              <w:rPr>
                <w:rFonts w:eastAsia="MS Mincho"/>
                <w:color w:val="FF0000"/>
                <w:sz w:val="18"/>
                <w:szCs w:val="18"/>
                <w:lang w:eastAsia="ja-JP"/>
              </w:rPr>
            </w:pPr>
            <w:r w:rsidRPr="0094169A">
              <w:rPr>
                <w:color w:val="000000"/>
                <w:sz w:val="18"/>
                <w:szCs w:val="18"/>
              </w:rPr>
              <w:t>68</w:t>
            </w:r>
          </w:p>
        </w:tc>
        <w:tc>
          <w:tcPr>
            <w:tcW w:w="864" w:type="dxa"/>
            <w:tcBorders>
              <w:bottom w:val="single" w:sz="4" w:space="0" w:color="auto"/>
            </w:tcBorders>
            <w:shd w:val="clear" w:color="auto" w:fill="auto"/>
            <w:tcMar>
              <w:top w:w="15" w:type="dxa"/>
              <w:left w:w="15" w:type="dxa"/>
              <w:bottom w:w="0" w:type="dxa"/>
              <w:right w:w="15" w:type="dxa"/>
            </w:tcMar>
            <w:vAlign w:val="bottom"/>
          </w:tcPr>
          <w:p w14:paraId="7B8E3CC0" w14:textId="77777777" w:rsidR="00455596" w:rsidRPr="0094169A" w:rsidRDefault="00455596" w:rsidP="00C844FE">
            <w:pPr>
              <w:jc w:val="center"/>
              <w:textAlignment w:val="bottom"/>
              <w:rPr>
                <w:color w:val="FF0000"/>
                <w:sz w:val="18"/>
                <w:szCs w:val="18"/>
                <w:lang w:eastAsia="en-AU"/>
              </w:rPr>
            </w:pPr>
            <w:r w:rsidRPr="0094169A">
              <w:rPr>
                <w:color w:val="000000"/>
                <w:sz w:val="18"/>
                <w:szCs w:val="18"/>
              </w:rPr>
              <w:t>80</w:t>
            </w:r>
          </w:p>
        </w:tc>
        <w:tc>
          <w:tcPr>
            <w:tcW w:w="864" w:type="dxa"/>
            <w:tcBorders>
              <w:bottom w:val="single" w:sz="4" w:space="0" w:color="auto"/>
            </w:tcBorders>
            <w:shd w:val="clear" w:color="auto" w:fill="auto"/>
            <w:vAlign w:val="bottom"/>
          </w:tcPr>
          <w:p w14:paraId="1ABD9447" w14:textId="77777777" w:rsidR="00455596" w:rsidRPr="0094169A" w:rsidRDefault="00455596" w:rsidP="00C844FE">
            <w:pPr>
              <w:jc w:val="center"/>
              <w:textAlignment w:val="bottom"/>
              <w:rPr>
                <w:rFonts w:eastAsia="MS Mincho"/>
                <w:color w:val="FF0000"/>
                <w:sz w:val="18"/>
                <w:szCs w:val="18"/>
                <w:lang w:eastAsia="ja-JP"/>
              </w:rPr>
            </w:pPr>
            <w:r w:rsidRPr="0094169A">
              <w:rPr>
                <w:color w:val="000000"/>
                <w:sz w:val="18"/>
                <w:szCs w:val="18"/>
              </w:rPr>
              <w:t>89</w:t>
            </w:r>
          </w:p>
        </w:tc>
        <w:tc>
          <w:tcPr>
            <w:tcW w:w="864" w:type="dxa"/>
            <w:tcBorders>
              <w:bottom w:val="single" w:sz="4" w:space="0" w:color="auto"/>
            </w:tcBorders>
            <w:shd w:val="clear" w:color="auto" w:fill="auto"/>
            <w:tcMar>
              <w:top w:w="15" w:type="dxa"/>
              <w:left w:w="15" w:type="dxa"/>
              <w:bottom w:w="0" w:type="dxa"/>
              <w:right w:w="15" w:type="dxa"/>
            </w:tcMar>
            <w:vAlign w:val="bottom"/>
          </w:tcPr>
          <w:p w14:paraId="75EE2B73" w14:textId="77777777" w:rsidR="00455596" w:rsidRPr="0094169A" w:rsidRDefault="00455596" w:rsidP="00C844FE">
            <w:pPr>
              <w:jc w:val="center"/>
              <w:textAlignment w:val="bottom"/>
              <w:rPr>
                <w:color w:val="FF0000"/>
                <w:sz w:val="18"/>
                <w:szCs w:val="18"/>
                <w:lang w:eastAsia="en-AU"/>
              </w:rPr>
            </w:pPr>
            <w:r w:rsidRPr="0094169A">
              <w:rPr>
                <w:color w:val="000000"/>
                <w:sz w:val="18"/>
                <w:szCs w:val="18"/>
              </w:rPr>
              <w:t>93</w:t>
            </w:r>
          </w:p>
        </w:tc>
        <w:tc>
          <w:tcPr>
            <w:tcW w:w="864" w:type="dxa"/>
            <w:tcBorders>
              <w:bottom w:val="single" w:sz="4" w:space="0" w:color="auto"/>
            </w:tcBorders>
            <w:shd w:val="clear" w:color="auto" w:fill="auto"/>
            <w:tcMar>
              <w:top w:w="15" w:type="dxa"/>
              <w:left w:w="15" w:type="dxa"/>
              <w:bottom w:w="0" w:type="dxa"/>
              <w:right w:w="15" w:type="dxa"/>
            </w:tcMar>
            <w:vAlign w:val="bottom"/>
          </w:tcPr>
          <w:p w14:paraId="4D05DBCE" w14:textId="77777777" w:rsidR="00455596" w:rsidRPr="0094169A" w:rsidRDefault="00455596" w:rsidP="00C844FE">
            <w:pPr>
              <w:jc w:val="center"/>
              <w:textAlignment w:val="bottom"/>
              <w:rPr>
                <w:color w:val="FF0000"/>
                <w:sz w:val="18"/>
                <w:szCs w:val="18"/>
                <w:lang w:eastAsia="en-AU"/>
              </w:rPr>
            </w:pPr>
            <w:r w:rsidRPr="0094169A">
              <w:rPr>
                <w:color w:val="000000"/>
                <w:sz w:val="18"/>
                <w:szCs w:val="18"/>
              </w:rPr>
              <w:t>96</w:t>
            </w:r>
          </w:p>
        </w:tc>
        <w:tc>
          <w:tcPr>
            <w:tcW w:w="866" w:type="dxa"/>
            <w:tcBorders>
              <w:bottom w:val="single" w:sz="4" w:space="0" w:color="auto"/>
            </w:tcBorders>
            <w:shd w:val="clear" w:color="auto" w:fill="auto"/>
            <w:vAlign w:val="bottom"/>
          </w:tcPr>
          <w:p w14:paraId="74CE3F94" w14:textId="77777777" w:rsidR="00455596" w:rsidRPr="0094169A" w:rsidRDefault="00455596" w:rsidP="00C844FE">
            <w:pPr>
              <w:jc w:val="center"/>
              <w:textAlignment w:val="bottom"/>
              <w:rPr>
                <w:color w:val="FF0000"/>
                <w:sz w:val="18"/>
                <w:szCs w:val="18"/>
                <w:lang w:eastAsia="en-AU"/>
              </w:rPr>
            </w:pPr>
            <w:r w:rsidRPr="0094169A">
              <w:rPr>
                <w:color w:val="000000"/>
                <w:sz w:val="18"/>
                <w:szCs w:val="18"/>
              </w:rPr>
              <w:t>98</w:t>
            </w:r>
          </w:p>
        </w:tc>
      </w:tr>
    </w:tbl>
    <w:p w14:paraId="158A6019" w14:textId="77777777" w:rsidR="00C844FE" w:rsidRDefault="00C844FE"/>
    <w:sectPr w:rsidR="00C844FE" w:rsidSect="00737A7A">
      <w:headerReference w:type="default" r:id="rId12"/>
      <w:footerReference w:type="default" r:id="rId13"/>
      <w:pgSz w:w="11900" w:h="16840"/>
      <w:pgMar w:top="1134"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50879" w14:textId="77777777" w:rsidR="004472E5" w:rsidRDefault="004472E5" w:rsidP="00F01970">
      <w:r>
        <w:separator/>
      </w:r>
    </w:p>
  </w:endnote>
  <w:endnote w:type="continuationSeparator" w:id="0">
    <w:p w14:paraId="78777D70" w14:textId="77777777" w:rsidR="004472E5" w:rsidRDefault="004472E5" w:rsidP="00F0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1CE6" w14:textId="260544C7" w:rsidR="00F01970" w:rsidRPr="00F01970" w:rsidRDefault="00F01970" w:rsidP="00F01970">
    <w:pPr>
      <w:pStyle w:val="Footer"/>
      <w:jc w:val="center"/>
    </w:pPr>
    <w:r>
      <w:t xml:space="preserve">Page </w:t>
    </w:r>
    <w:r>
      <w:fldChar w:fldCharType="begin"/>
    </w:r>
    <w:r>
      <w:instrText xml:space="preserve"> PAGE </w:instrText>
    </w:r>
    <w:r>
      <w:fldChar w:fldCharType="separate"/>
    </w:r>
    <w:r w:rsidR="007A0C01">
      <w:rPr>
        <w:noProof/>
      </w:rPr>
      <w:t>1</w:t>
    </w:r>
    <w:r>
      <w:fldChar w:fldCharType="end"/>
    </w:r>
    <w:r>
      <w:t xml:space="preserve"> sur </w:t>
    </w:r>
    <w:r w:rsidR="007A0C01">
      <w:fldChar w:fldCharType="begin"/>
    </w:r>
    <w:r w:rsidR="007A0C01">
      <w:instrText xml:space="preserve"> NUMPAGES </w:instrText>
    </w:r>
    <w:r w:rsidR="007A0C01">
      <w:fldChar w:fldCharType="separate"/>
    </w:r>
    <w:r w:rsidR="007A0C01">
      <w:rPr>
        <w:noProof/>
      </w:rPr>
      <w:t>2</w:t>
    </w:r>
    <w:r w:rsidR="007A0C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32B3D" w14:textId="77777777" w:rsidR="004472E5" w:rsidRDefault="004472E5" w:rsidP="00F01970">
      <w:r>
        <w:separator/>
      </w:r>
    </w:p>
  </w:footnote>
  <w:footnote w:type="continuationSeparator" w:id="0">
    <w:p w14:paraId="62640620" w14:textId="77777777" w:rsidR="004472E5" w:rsidRDefault="004472E5" w:rsidP="00F0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FC8A" w14:textId="12494BED" w:rsidR="00F01970" w:rsidRPr="00F01970" w:rsidRDefault="00F01970" w:rsidP="00F01970">
    <w:pPr>
      <w:pStyle w:val="Header"/>
      <w:tabs>
        <w:tab w:val="clear" w:pos="4536"/>
        <w:tab w:val="clear" w:pos="9072"/>
        <w:tab w:val="right" w:pos="10065"/>
      </w:tabs>
      <w:rPr>
        <w:sz w:val="32"/>
        <w:szCs w:val="32"/>
      </w:rPr>
    </w:pPr>
    <w:r>
      <w:rPr>
        <w:sz w:val="32"/>
        <w:szCs w:val="32"/>
      </w:rPr>
      <w:t>Marlin bleu</w:t>
    </w:r>
    <w:r>
      <w:rPr>
        <w:sz w:val="32"/>
        <w:szCs w:val="32"/>
      </w:rPr>
      <w:tab/>
      <w:t>Mis à jour : décembre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025A"/>
    <w:multiLevelType w:val="hybridMultilevel"/>
    <w:tmpl w:val="EE34CAEA"/>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47E60C63"/>
    <w:multiLevelType w:val="hybridMultilevel"/>
    <w:tmpl w:val="91527140"/>
    <w:lvl w:ilvl="0" w:tplc="0F56C2F4">
      <w:start w:val="1"/>
      <w:numFmt w:val="decimal"/>
      <w:pStyle w:val="Normal-numeros"/>
      <w:lvlText w:val="%1."/>
      <w:lvlJc w:val="left"/>
      <w:pPr>
        <w:ind w:left="720" w:hanging="360"/>
      </w:pPr>
      <w:rPr>
        <w:b w:val="0"/>
        <w:i w:val="0"/>
      </w:rPr>
    </w:lvl>
    <w:lvl w:ilvl="1" w:tplc="040C0001">
      <w:start w:val="1"/>
      <w:numFmt w:val="bullet"/>
      <w:lvlText w:val=""/>
      <w:lvlJc w:val="left"/>
      <w:pPr>
        <w:ind w:left="1440" w:hanging="360"/>
      </w:pPr>
      <w:rPr>
        <w:rFonts w:ascii="Symbol" w:hAnsi="Symbol" w:hint="default"/>
      </w:rPr>
    </w:lvl>
    <w:lvl w:ilvl="2" w:tplc="040C000B">
      <w:start w:val="1"/>
      <w:numFmt w:val="bullet"/>
      <w:lvlText w:val=""/>
      <w:lvlJc w:val="left"/>
      <w:pPr>
        <w:ind w:left="2340" w:hanging="360"/>
      </w:pPr>
      <w:rPr>
        <w:rFonts w:ascii="Wingdings" w:hAnsi="Wingdings" w:hint="default"/>
      </w:rPr>
    </w:lvl>
    <w:lvl w:ilvl="3" w:tplc="A59863E4">
      <w:numFmt w:val="bullet"/>
      <w:lvlText w:val="•"/>
      <w:lvlJc w:val="left"/>
      <w:pPr>
        <w:ind w:left="2880" w:hanging="360"/>
      </w:pPr>
      <w:rPr>
        <w:rFonts w:ascii="Times New Roman" w:eastAsiaTheme="minorEastAsia"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E16FDF"/>
    <w:multiLevelType w:val="hybridMultilevel"/>
    <w:tmpl w:val="C11AA72C"/>
    <w:lvl w:ilvl="0" w:tplc="8E527012">
      <w:start w:val="1"/>
      <w:numFmt w:val="decimal"/>
      <w:pStyle w:val="IOTCReportNormalNumbered"/>
      <w:lvlText w:val="%1."/>
      <w:lvlJc w:val="left"/>
      <w:pPr>
        <w:ind w:left="502" w:hanging="502"/>
      </w:pPr>
      <w:rPr>
        <w:rFonts w:hint="default"/>
        <w:b w:val="0"/>
        <w:i w:val="0"/>
        <w:sz w:val="22"/>
        <w:szCs w:val="22"/>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96"/>
    <w:rsid w:val="00044796"/>
    <w:rsid w:val="001358D1"/>
    <w:rsid w:val="002F19D9"/>
    <w:rsid w:val="0030036E"/>
    <w:rsid w:val="003905D6"/>
    <w:rsid w:val="004251DF"/>
    <w:rsid w:val="00441F4A"/>
    <w:rsid w:val="004472E5"/>
    <w:rsid w:val="00455596"/>
    <w:rsid w:val="005A2C3D"/>
    <w:rsid w:val="00667429"/>
    <w:rsid w:val="006A098B"/>
    <w:rsid w:val="007228D2"/>
    <w:rsid w:val="00737A7A"/>
    <w:rsid w:val="007A0C01"/>
    <w:rsid w:val="008E4F3B"/>
    <w:rsid w:val="00A16749"/>
    <w:rsid w:val="00AC5C14"/>
    <w:rsid w:val="00B03C75"/>
    <w:rsid w:val="00B317A1"/>
    <w:rsid w:val="00C844FE"/>
    <w:rsid w:val="00CC115D"/>
    <w:rsid w:val="00D32B50"/>
    <w:rsid w:val="00D4522C"/>
    <w:rsid w:val="00E4399D"/>
    <w:rsid w:val="00F019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84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96"/>
    <w:pPr>
      <w:jc w:val="both"/>
    </w:pPr>
    <w:rPr>
      <w:rFonts w:ascii="Times New Roman" w:eastAsiaTheme="minorEastAsia" w:hAnsi="Times New Roman" w:cs="Times New Roman"/>
      <w:sz w:val="22"/>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55596"/>
    <w:pPr>
      <w:spacing w:before="200" w:after="60"/>
      <w:jc w:val="left"/>
    </w:pPr>
    <w:rPr>
      <w:bCs/>
      <w:sz w:val="20"/>
    </w:rPr>
  </w:style>
  <w:style w:type="paragraph" w:customStyle="1" w:styleId="Normal-numeros">
    <w:name w:val="Normal-numeros"/>
    <w:basedOn w:val="Normal"/>
    <w:rsid w:val="00455596"/>
    <w:pPr>
      <w:numPr>
        <w:numId w:val="1"/>
      </w:numPr>
      <w:tabs>
        <w:tab w:val="left" w:pos="567"/>
      </w:tabs>
      <w:spacing w:before="120"/>
      <w:ind w:left="130" w:hanging="130"/>
    </w:pPr>
  </w:style>
  <w:style w:type="paragraph" w:customStyle="1" w:styleId="IOTCReportNormalNumbered">
    <w:name w:val="IOTC Report Normal Numbered"/>
    <w:basedOn w:val="Normal"/>
    <w:qFormat/>
    <w:rsid w:val="00455596"/>
    <w:pPr>
      <w:numPr>
        <w:numId w:val="2"/>
      </w:numPr>
      <w:spacing w:before="120"/>
    </w:pPr>
    <w:rPr>
      <w:rFonts w:eastAsia="Times New Roman"/>
      <w:snapToGrid w:val="0"/>
      <w:color w:val="000000"/>
      <w:lang w:eastAsia="en-US"/>
    </w:rPr>
  </w:style>
  <w:style w:type="paragraph" w:customStyle="1" w:styleId="Annexe">
    <w:name w:val="Annexe"/>
    <w:basedOn w:val="Normal-numeros"/>
    <w:rsid w:val="00455596"/>
    <w:pPr>
      <w:numPr>
        <w:numId w:val="0"/>
      </w:numPr>
      <w:jc w:val="center"/>
    </w:pPr>
    <w:rPr>
      <w:b/>
      <w:smallCaps/>
      <w:sz w:val="28"/>
      <w:szCs w:val="28"/>
    </w:rPr>
  </w:style>
  <w:style w:type="paragraph" w:customStyle="1" w:styleId="ResolutionsAnnex">
    <w:name w:val="Resolutions Annex"/>
    <w:qFormat/>
    <w:rsid w:val="00455596"/>
    <w:pPr>
      <w:jc w:val="center"/>
    </w:pPr>
    <w:rPr>
      <w:rFonts w:ascii="Times New Roman Bold" w:eastAsia="Times New Roman" w:hAnsi="Times New Roman Bold" w:cs="Times New Roman"/>
      <w:b/>
      <w:smallCaps/>
      <w:noProof/>
      <w:snapToGrid w:val="0"/>
      <w:sz w:val="26"/>
      <w:lang w:val="en-GB"/>
    </w:rPr>
  </w:style>
  <w:style w:type="paragraph" w:styleId="Header">
    <w:name w:val="header"/>
    <w:basedOn w:val="Normal"/>
    <w:link w:val="HeaderChar"/>
    <w:uiPriority w:val="99"/>
    <w:unhideWhenUsed/>
    <w:rsid w:val="00F01970"/>
    <w:pPr>
      <w:tabs>
        <w:tab w:val="center" w:pos="4536"/>
        <w:tab w:val="right" w:pos="9072"/>
      </w:tabs>
    </w:pPr>
  </w:style>
  <w:style w:type="character" w:customStyle="1" w:styleId="HeaderChar">
    <w:name w:val="Header Char"/>
    <w:basedOn w:val="DefaultParagraphFont"/>
    <w:link w:val="Header"/>
    <w:uiPriority w:val="99"/>
    <w:rsid w:val="00F01970"/>
    <w:rPr>
      <w:rFonts w:ascii="Times New Roman" w:eastAsiaTheme="minorEastAsia" w:hAnsi="Times New Roman" w:cs="Times New Roman"/>
      <w:sz w:val="22"/>
      <w:szCs w:val="20"/>
      <w:lang w:eastAsia="fr-FR"/>
    </w:rPr>
  </w:style>
  <w:style w:type="paragraph" w:styleId="Footer">
    <w:name w:val="footer"/>
    <w:basedOn w:val="Normal"/>
    <w:link w:val="FooterChar"/>
    <w:uiPriority w:val="99"/>
    <w:unhideWhenUsed/>
    <w:rsid w:val="00F01970"/>
    <w:pPr>
      <w:tabs>
        <w:tab w:val="center" w:pos="4536"/>
        <w:tab w:val="right" w:pos="9072"/>
      </w:tabs>
    </w:pPr>
  </w:style>
  <w:style w:type="character" w:customStyle="1" w:styleId="FooterChar">
    <w:name w:val="Footer Char"/>
    <w:basedOn w:val="DefaultParagraphFont"/>
    <w:link w:val="Footer"/>
    <w:uiPriority w:val="99"/>
    <w:rsid w:val="00F01970"/>
    <w:rPr>
      <w:rFonts w:ascii="Times New Roman" w:eastAsiaTheme="minorEastAsia" w:hAnsi="Times New Roman"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otolithe</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Roux</dc:creator>
  <cp:keywords/>
  <dc:description/>
  <cp:lastModifiedBy>Kevin KJS. Sullivan</cp:lastModifiedBy>
  <cp:revision>2</cp:revision>
  <dcterms:created xsi:type="dcterms:W3CDTF">2017-11-16T12:17:00Z</dcterms:created>
  <dcterms:modified xsi:type="dcterms:W3CDTF">2017-11-16T12:17:00Z</dcterms:modified>
</cp:coreProperties>
</file>